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highlight w:val="none"/>
        </w:rPr>
        <w:id w:val="-809471201"/>
      </w:sdtPr>
      <w:sdtEndPr>
        <w:rPr>
          <w:highlight w:val="none"/>
        </w:rPr>
      </w:sdtEndPr>
      <w:sdtContent>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rFonts w:ascii="微软雅黑" w:hAnsi="微软雅黑" w:eastAsia="微软雅黑"/>
              <w:color w:val="000000" w:themeColor="text1"/>
              <w:sz w:val="56"/>
              <w:szCs w:val="52"/>
              <w:highlight w:val="none"/>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微软雅黑" w:hAnsi="微软雅黑" w:eastAsia="微软雅黑"/>
              <w:color w:val="000000" w:themeColor="text1"/>
              <w:sz w:val="56"/>
              <w:szCs w:val="52"/>
              <w:highlight w:val="none"/>
              <w14:shadow w14:blurRad="38100" w14:dist="19050" w14:dir="2700000" w14:sx="100000" w14:sy="100000" w14:kx="0" w14:ky="0" w14:algn="tl">
                <w14:schemeClr w14:val="dk1">
                  <w14:alpha w14:val="60000"/>
                </w14:schemeClr>
              </w14:shadow>
              <w14:textFill>
                <w14:solidFill>
                  <w14:schemeClr w14:val="tx1"/>
                </w14:solidFill>
              </w14:textFill>
            </w:rPr>
            <w:t>四川外国语大学</w:t>
          </w:r>
        </w:p>
        <w:p>
          <w:pPr>
            <w:jc w:val="center"/>
            <w:rPr>
              <w:rFonts w:ascii="微软雅黑" w:hAnsi="微软雅黑" w:eastAsia="微软雅黑"/>
              <w:color w:val="000000" w:themeColor="text1"/>
              <w:sz w:val="52"/>
              <w:szCs w:val="52"/>
              <w:highlight w:val="none"/>
              <w14:shadow w14:blurRad="38100" w14:dist="19050" w14:dir="2700000" w14:sx="100000" w14:sy="100000" w14:kx="0" w14:ky="0" w14:algn="tl">
                <w14:schemeClr w14:val="dk1">
                  <w14:alpha w14:val="60000"/>
                </w14:schemeClr>
              </w14:shadow>
              <w14:textFill>
                <w14:solidFill>
                  <w14:schemeClr w14:val="tx1"/>
                </w14:solidFill>
              </w14:textFill>
            </w:rPr>
          </w:pPr>
        </w:p>
        <w:p>
          <w:pPr>
            <w:jc w:val="center"/>
            <w:rPr>
              <w:rFonts w:hint="eastAsia" w:ascii="微软雅黑" w:hAnsi="微软雅黑" w:eastAsia="微软雅黑"/>
              <w:color w:val="000000" w:themeColor="text1"/>
              <w:sz w:val="52"/>
              <w:szCs w:val="52"/>
              <w:highlight w:val="none"/>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微软雅黑" w:hAnsi="微软雅黑" w:eastAsia="微软雅黑"/>
              <w:color w:val="000000" w:themeColor="text1"/>
              <w:sz w:val="52"/>
              <w:szCs w:val="52"/>
              <w:highlight w:val="none"/>
              <w14:shadow w14:blurRad="38100" w14:dist="19050" w14:dir="2700000" w14:sx="100000" w14:sy="100000" w14:kx="0" w14:ky="0" w14:algn="tl">
                <w14:schemeClr w14:val="dk1">
                  <w14:alpha w14:val="60000"/>
                </w14:schemeClr>
              </w14:shadow>
              <w14:textFill>
                <w14:solidFill>
                  <w14:schemeClr w14:val="tx1"/>
                </w14:solidFill>
              </w14:textFill>
            </w:rPr>
            <w:t>东校区学生食堂联合经营项目文件</w:t>
          </w:r>
          <w:r>
            <w:rPr>
              <w:rFonts w:hint="eastAsia" w:ascii="微软雅黑" w:hAnsi="微软雅黑" w:eastAsia="微软雅黑"/>
              <w:color w:val="000000" w:themeColor="text1"/>
              <w:sz w:val="52"/>
              <w:szCs w:val="52"/>
              <w:highlight w:val="none"/>
              <w:lang w:eastAsia="zh-CN"/>
              <w14:shadow w14:blurRad="38100" w14:dist="19050" w14:dir="2700000" w14:sx="100000" w14:sy="100000" w14:kx="0" w14:ky="0" w14:algn="tl">
                <w14:schemeClr w14:val="dk1">
                  <w14:alpha w14:val="60000"/>
                </w14:schemeClr>
              </w14:shadow>
              <w14:textFill>
                <w14:solidFill>
                  <w14:schemeClr w14:val="tx1"/>
                </w14:solidFill>
              </w14:textFill>
            </w:rPr>
            <w:t>（</w:t>
          </w:r>
          <w:r>
            <w:rPr>
              <w:rFonts w:hint="eastAsia" w:ascii="微软雅黑" w:hAnsi="微软雅黑" w:eastAsia="微软雅黑"/>
              <w:color w:val="000000" w:themeColor="text1"/>
              <w:sz w:val="52"/>
              <w:szCs w:val="52"/>
              <w:highlight w:val="none"/>
              <w:lang w:val="en-US" w:eastAsia="zh-CN"/>
              <w14:shadow w14:blurRad="38100" w14:dist="19050" w14:dir="2700000" w14:sx="100000" w14:sy="100000" w14:kx="0" w14:ky="0" w14:algn="tl">
                <w14:schemeClr w14:val="dk1">
                  <w14:alpha w14:val="60000"/>
                </w14:schemeClr>
              </w14:shadow>
              <w14:textFill>
                <w14:solidFill>
                  <w14:schemeClr w14:val="tx1"/>
                </w14:solidFill>
              </w14:textFill>
            </w:rPr>
            <w:t>第三次</w:t>
          </w:r>
          <w:r>
            <w:rPr>
              <w:rFonts w:hint="eastAsia" w:ascii="微软雅黑" w:hAnsi="微软雅黑" w:eastAsia="微软雅黑"/>
              <w:color w:val="000000" w:themeColor="text1"/>
              <w:sz w:val="52"/>
              <w:szCs w:val="52"/>
              <w:highlight w:val="none"/>
              <w:lang w:eastAsia="zh-CN"/>
              <w14:shadow w14:blurRad="38100" w14:dist="19050" w14:dir="2700000" w14:sx="100000" w14:sy="100000" w14:kx="0" w14:ky="0" w14:algn="tl">
                <w14:schemeClr w14:val="dk1">
                  <w14:alpha w14:val="60000"/>
                </w14:schemeClr>
              </w14:shadow>
              <w14:textFill>
                <w14:solidFill>
                  <w14:schemeClr w14:val="tx1"/>
                </w14:solidFill>
              </w14:textFill>
            </w:rPr>
            <w:t>）</w:t>
          </w:r>
        </w:p>
        <w:p>
          <w:pPr>
            <w:jc w:val="center"/>
            <w:rPr>
              <w:rFonts w:ascii="微软雅黑" w:hAnsi="微软雅黑" w:eastAsia="微软雅黑"/>
              <w:color w:val="000000" w:themeColor="text1"/>
              <w:sz w:val="52"/>
              <w:szCs w:val="52"/>
              <w:highlight w:val="none"/>
              <w14:shadow w14:blurRad="38100" w14:dist="19050" w14:dir="2700000" w14:sx="100000" w14:sy="100000" w14:kx="0" w14:ky="0" w14:algn="tl">
                <w14:schemeClr w14:val="dk1">
                  <w14:alpha w14:val="60000"/>
                </w14:schemeClr>
              </w14:shadow>
              <w14:textFill>
                <w14:solidFill>
                  <w14:schemeClr w14:val="tx1"/>
                </w14:solidFill>
              </w14:textFill>
            </w:rPr>
          </w:pPr>
        </w:p>
        <w:p>
          <w:pPr>
            <w:jc w:val="center"/>
            <w:rPr>
              <w:rFonts w:ascii="微软雅黑" w:hAnsi="微软雅黑" w:eastAsia="微软雅黑"/>
              <w:color w:val="000000" w:themeColor="text1"/>
              <w:sz w:val="52"/>
              <w:szCs w:val="52"/>
              <w:highlight w:val="none"/>
              <w14:shadow w14:blurRad="38100" w14:dist="19050" w14:dir="2700000" w14:sx="100000" w14:sy="100000" w14:kx="0" w14:ky="0" w14:algn="tl">
                <w14:schemeClr w14:val="dk1">
                  <w14:alpha w14:val="60000"/>
                </w14:schemeClr>
              </w14:shadow>
              <w14:textFill>
                <w14:solidFill>
                  <w14:schemeClr w14:val="tx1"/>
                </w14:solidFill>
              </w14:textFill>
            </w:rPr>
          </w:pPr>
        </w:p>
        <w:p>
          <w:pPr>
            <w:jc w:val="center"/>
            <w:rPr>
              <w:rFonts w:ascii="微软雅黑" w:hAnsi="微软雅黑" w:eastAsia="微软雅黑"/>
              <w:color w:val="000000" w:themeColor="text1"/>
              <w:sz w:val="36"/>
              <w:szCs w:val="52"/>
              <w:highlight w:val="none"/>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微软雅黑" w:hAnsi="微软雅黑" w:eastAsia="微软雅黑"/>
              <w:color w:val="000000" w:themeColor="text1"/>
              <w:sz w:val="36"/>
              <w:szCs w:val="52"/>
              <w:highlight w:val="none"/>
              <w14:shadow w14:blurRad="38100" w14:dist="19050" w14:dir="2700000" w14:sx="100000" w14:sy="100000" w14:kx="0" w14:ky="0" w14:algn="tl">
                <w14:schemeClr w14:val="dk1">
                  <w14:alpha w14:val="60000"/>
                </w14:schemeClr>
              </w14:shadow>
              <w14:textFill>
                <w14:solidFill>
                  <w14:schemeClr w14:val="tx1"/>
                </w14:solidFill>
              </w14:textFill>
            </w:rPr>
            <w:t>2</w:t>
          </w:r>
          <w:r>
            <w:rPr>
              <w:rFonts w:ascii="微软雅黑" w:hAnsi="微软雅黑" w:eastAsia="微软雅黑"/>
              <w:color w:val="000000" w:themeColor="text1"/>
              <w:sz w:val="36"/>
              <w:szCs w:val="52"/>
              <w:highlight w:val="none"/>
              <w14:shadow w14:blurRad="38100" w14:dist="19050" w14:dir="2700000" w14:sx="100000" w14:sy="100000" w14:kx="0" w14:ky="0" w14:algn="tl">
                <w14:schemeClr w14:val="dk1">
                  <w14:alpha w14:val="60000"/>
                </w14:schemeClr>
              </w14:shadow>
              <w14:textFill>
                <w14:solidFill>
                  <w14:schemeClr w14:val="tx1"/>
                </w14:solidFill>
              </w14:textFill>
            </w:rPr>
            <w:t>025</w:t>
          </w:r>
          <w:r>
            <w:rPr>
              <w:rFonts w:hint="eastAsia" w:ascii="微软雅黑" w:hAnsi="微软雅黑" w:eastAsia="微软雅黑"/>
              <w:color w:val="000000" w:themeColor="text1"/>
              <w:sz w:val="36"/>
              <w:szCs w:val="52"/>
              <w:highlight w:val="none"/>
              <w14:shadow w14:blurRad="38100" w14:dist="19050" w14:dir="2700000" w14:sx="100000" w14:sy="100000" w14:kx="0" w14:ky="0" w14:algn="tl">
                <w14:schemeClr w14:val="dk1">
                  <w14:alpha w14:val="60000"/>
                </w14:schemeClr>
              </w14:shadow>
              <w14:textFill>
                <w14:solidFill>
                  <w14:schemeClr w14:val="tx1"/>
                </w14:solidFill>
              </w14:textFill>
            </w:rPr>
            <w:t>年6月</w:t>
          </w: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r>
            <w:rPr>
              <w:highlight w:val="none"/>
            </w:rPr>
            <w:t xml:space="preserve"> </w:t>
          </w:r>
        </w:p>
      </w:sdtContent>
    </w:sdt>
    <w:p>
      <w:pPr>
        <w:snapToGrid w:val="0"/>
        <w:spacing w:line="276" w:lineRule="auto"/>
        <w:jc w:val="center"/>
        <w:rPr>
          <w:rFonts w:ascii="宋体" w:hAnsi="宋体" w:cs="宋体"/>
          <w:bCs/>
          <w:sz w:val="24"/>
          <w:szCs w:val="24"/>
          <w:highlight w:val="none"/>
        </w:rPr>
      </w:pPr>
      <w:r>
        <w:rPr>
          <w:rFonts w:hint="eastAsia" w:ascii="宋体" w:hAnsi="宋体" w:cs="宋体"/>
          <w:b/>
          <w:sz w:val="32"/>
          <w:szCs w:val="32"/>
          <w:highlight w:val="none"/>
        </w:rPr>
        <w:t>目    录</w:t>
      </w:r>
    </w:p>
    <w:p>
      <w:pPr>
        <w:pStyle w:val="24"/>
        <w:tabs>
          <w:tab w:val="right" w:leader="dot" w:pos="8313"/>
        </w:tabs>
        <w:spacing w:before="118" w:line="276" w:lineRule="auto"/>
        <w:rPr>
          <w:rFonts w:ascii="宋体" w:hAnsi="宋体" w:cs="宋体"/>
          <w:b w:val="0"/>
          <w:szCs w:val="24"/>
          <w:highlight w:val="none"/>
        </w:rPr>
      </w:pPr>
      <w:r>
        <w:rPr>
          <w:rFonts w:hint="eastAsia" w:ascii="宋体" w:hAnsi="宋体" w:cs="宋体"/>
          <w:b w:val="0"/>
          <w:szCs w:val="24"/>
          <w:highlight w:val="none"/>
        </w:rPr>
        <w:fldChar w:fldCharType="begin"/>
      </w:r>
      <w:r>
        <w:rPr>
          <w:rFonts w:hint="eastAsia" w:ascii="宋体" w:hAnsi="宋体" w:cs="宋体"/>
          <w:b w:val="0"/>
          <w:szCs w:val="24"/>
          <w:highlight w:val="none"/>
        </w:rPr>
        <w:instrText xml:space="preserve">TOC \o "1-3" \h \u </w:instrText>
      </w:r>
      <w:r>
        <w:rPr>
          <w:rFonts w:hint="eastAsia" w:ascii="宋体" w:hAnsi="宋体" w:cs="宋体"/>
          <w:b w:val="0"/>
          <w:szCs w:val="24"/>
          <w:highlight w:val="none"/>
        </w:rPr>
        <w:fldChar w:fldCharType="separate"/>
      </w:r>
    </w:p>
    <w:p>
      <w:pPr>
        <w:pStyle w:val="29"/>
        <w:tabs>
          <w:tab w:val="right" w:leader="dot" w:pos="8313"/>
        </w:tabs>
        <w:spacing w:before="118" w:line="276" w:lineRule="auto"/>
        <w:ind w:firstLine="2968" w:firstLineChars="1400"/>
        <w:rPr>
          <w:rFonts w:ascii="宋体" w:hAnsi="宋体" w:cs="宋体"/>
          <w:bCs w:val="0"/>
          <w:sz w:val="24"/>
          <w:szCs w:val="24"/>
          <w:highlight w:val="none"/>
        </w:rPr>
      </w:pPr>
      <w:r>
        <w:rPr>
          <w:rFonts w:hint="eastAsia" w:ascii="宋体" w:hAnsi="宋体" w:cs="宋体"/>
          <w:b w:val="0"/>
          <w:sz w:val="24"/>
          <w:szCs w:val="24"/>
          <w:highlight w:val="none"/>
        </w:rPr>
        <w:fldChar w:fldCharType="begin"/>
      </w:r>
      <w:r>
        <w:rPr>
          <w:rFonts w:hint="eastAsia" w:ascii="宋体" w:hAnsi="宋体" w:cs="宋体"/>
          <w:b w:val="0"/>
          <w:sz w:val="24"/>
          <w:szCs w:val="24"/>
          <w:highlight w:val="none"/>
        </w:rPr>
        <w:instrText xml:space="preserve"> HYPERLINK \l _Toc13657 </w:instrText>
      </w:r>
      <w:r>
        <w:rPr>
          <w:rFonts w:hint="eastAsia" w:ascii="宋体" w:hAnsi="宋体" w:cs="宋体"/>
          <w:b w:val="0"/>
          <w:sz w:val="24"/>
          <w:szCs w:val="24"/>
          <w:highlight w:val="none"/>
        </w:rPr>
        <w:fldChar w:fldCharType="separate"/>
      </w:r>
      <w:r>
        <w:rPr>
          <w:rFonts w:hint="eastAsia" w:ascii="宋体" w:hAnsi="宋体" w:cs="宋体"/>
          <w:bCs w:val="0"/>
          <w:sz w:val="24"/>
          <w:szCs w:val="24"/>
          <w:highlight w:val="none"/>
        </w:rPr>
        <w:t>第一篇 项目基本情况</w:t>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"_Toc17843" </w:instrText>
      </w:r>
      <w:r>
        <w:rPr>
          <w:highlight w:val="none"/>
        </w:rPr>
        <w:fldChar w:fldCharType="separate"/>
      </w:r>
      <w:r>
        <w:rPr>
          <w:rFonts w:hint="eastAsia" w:ascii="宋体" w:hAnsi="宋体" w:cs="宋体"/>
          <w:b w:val="0"/>
          <w:sz w:val="24"/>
          <w:szCs w:val="24"/>
          <w:highlight w:val="none"/>
        </w:rPr>
        <w:t>一、项目内容</w:t>
      </w:r>
      <w:r>
        <w:rPr>
          <w:rFonts w:hint="eastAsia" w:ascii="宋体" w:hAnsi="宋体" w:cs="宋体"/>
          <w:b w:val="0"/>
          <w:sz w:val="24"/>
          <w:szCs w:val="24"/>
          <w:highlight w:val="none"/>
        </w:rPr>
        <w:tab/>
      </w:r>
      <w:r>
        <w:rPr>
          <w:rFonts w:ascii="宋体" w:hAnsi="宋体" w:cs="宋体"/>
          <w:b w:val="0"/>
          <w:sz w:val="24"/>
          <w:szCs w:val="24"/>
          <w:highlight w:val="none"/>
        </w:rPr>
        <w:t>3</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"_Toc17843" </w:instrText>
      </w:r>
      <w:r>
        <w:rPr>
          <w:highlight w:val="none"/>
        </w:rPr>
        <w:fldChar w:fldCharType="separate"/>
      </w:r>
      <w:r>
        <w:rPr>
          <w:rFonts w:hint="eastAsia" w:ascii="宋体" w:hAnsi="宋体" w:cs="宋体"/>
          <w:b w:val="0"/>
          <w:sz w:val="24"/>
          <w:szCs w:val="24"/>
          <w:highlight w:val="none"/>
        </w:rPr>
        <w:t>二、参竞人资格要求</w:t>
      </w:r>
      <w:r>
        <w:rPr>
          <w:rFonts w:hint="eastAsia" w:ascii="宋体" w:hAnsi="宋体" w:cs="宋体"/>
          <w:b w:val="0"/>
          <w:sz w:val="24"/>
          <w:szCs w:val="24"/>
          <w:highlight w:val="none"/>
        </w:rPr>
        <w:tab/>
      </w:r>
      <w:r>
        <w:rPr>
          <w:rFonts w:ascii="宋体" w:hAnsi="宋体" w:cs="宋体"/>
          <w:b w:val="0"/>
          <w:sz w:val="24"/>
          <w:szCs w:val="24"/>
          <w:highlight w:val="none"/>
        </w:rPr>
        <w:t>3</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"_Toc17843" </w:instrText>
      </w:r>
      <w:r>
        <w:rPr>
          <w:highlight w:val="none"/>
        </w:rPr>
        <w:fldChar w:fldCharType="separate"/>
      </w:r>
      <w:r>
        <w:rPr>
          <w:rFonts w:hint="eastAsia" w:ascii="宋体" w:hAnsi="宋体" w:cs="宋体"/>
          <w:b w:val="0"/>
          <w:sz w:val="24"/>
          <w:szCs w:val="24"/>
          <w:highlight w:val="none"/>
        </w:rPr>
        <w:t>三、现场踏勘</w:t>
      </w:r>
      <w:r>
        <w:rPr>
          <w:rFonts w:hint="eastAsia" w:ascii="宋体" w:hAnsi="宋体" w:cs="宋体"/>
          <w:b w:val="0"/>
          <w:sz w:val="24"/>
          <w:szCs w:val="24"/>
          <w:highlight w:val="none"/>
        </w:rPr>
        <w:tab/>
      </w:r>
      <w:r>
        <w:rPr>
          <w:rFonts w:ascii="宋体" w:hAnsi="宋体" w:cs="宋体"/>
          <w:b w:val="0"/>
          <w:sz w:val="24"/>
          <w:szCs w:val="24"/>
          <w:highlight w:val="none"/>
        </w:rPr>
        <w:t>4</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"_Toc17843" </w:instrText>
      </w:r>
      <w:r>
        <w:rPr>
          <w:highlight w:val="none"/>
        </w:rPr>
        <w:fldChar w:fldCharType="separate"/>
      </w:r>
      <w:r>
        <w:rPr>
          <w:rFonts w:hint="eastAsia" w:ascii="宋体" w:hAnsi="宋体" w:cs="宋体"/>
          <w:b w:val="0"/>
          <w:sz w:val="24"/>
          <w:szCs w:val="24"/>
          <w:highlight w:val="none"/>
        </w:rPr>
        <w:t>四、报名、参竞保证金及文件购买费</w:t>
      </w:r>
      <w:r>
        <w:rPr>
          <w:rFonts w:hint="eastAsia" w:ascii="宋体" w:hAnsi="宋体" w:cs="宋体"/>
          <w:b w:val="0"/>
          <w:sz w:val="24"/>
          <w:szCs w:val="24"/>
          <w:highlight w:val="none"/>
        </w:rPr>
        <w:tab/>
      </w:r>
      <w:r>
        <w:rPr>
          <w:rFonts w:ascii="宋体" w:hAnsi="宋体" w:cs="宋体"/>
          <w:b w:val="0"/>
          <w:sz w:val="24"/>
          <w:szCs w:val="24"/>
          <w:highlight w:val="none"/>
        </w:rPr>
        <w:t>4</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"_Toc17843" </w:instrText>
      </w:r>
      <w:r>
        <w:rPr>
          <w:highlight w:val="none"/>
        </w:rPr>
        <w:fldChar w:fldCharType="separate"/>
      </w:r>
      <w:r>
        <w:rPr>
          <w:rFonts w:hint="eastAsia" w:ascii="宋体" w:hAnsi="宋体" w:cs="宋体"/>
          <w:b w:val="0"/>
          <w:sz w:val="24"/>
          <w:szCs w:val="24"/>
          <w:highlight w:val="none"/>
        </w:rPr>
        <w:t>五、现场评审、结果公示</w:t>
      </w:r>
      <w:r>
        <w:rPr>
          <w:rFonts w:hint="eastAsia" w:ascii="宋体" w:hAnsi="宋体" w:cs="宋体"/>
          <w:b w:val="0"/>
          <w:sz w:val="24"/>
          <w:szCs w:val="24"/>
          <w:highlight w:val="none"/>
        </w:rPr>
        <w:tab/>
      </w:r>
      <w:r>
        <w:rPr>
          <w:rFonts w:ascii="宋体" w:hAnsi="宋体" w:cs="宋体"/>
          <w:b w:val="0"/>
          <w:sz w:val="24"/>
          <w:szCs w:val="24"/>
          <w:highlight w:val="none"/>
        </w:rPr>
        <w:t>5</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rFonts w:hint="eastAsia" w:ascii="宋体" w:hAnsi="宋体" w:cs="宋体"/>
          <w:b w:val="0"/>
          <w:sz w:val="24"/>
          <w:szCs w:val="24"/>
          <w:highlight w:val="none"/>
        </w:rPr>
        <w:fldChar w:fldCharType="end"/>
      </w:r>
      <w:r>
        <w:rPr>
          <w:highlight w:val="none"/>
        </w:rPr>
        <w:fldChar w:fldCharType="begin"/>
      </w:r>
      <w:r>
        <w:rPr>
          <w:highlight w:val="none"/>
        </w:rPr>
        <w:instrText xml:space="preserve"> HYPERLINK \l "_Toc17843" </w:instrText>
      </w:r>
      <w:r>
        <w:rPr>
          <w:highlight w:val="none"/>
        </w:rPr>
        <w:fldChar w:fldCharType="separate"/>
      </w:r>
      <w:r>
        <w:rPr>
          <w:rFonts w:hint="eastAsia" w:ascii="宋体" w:hAnsi="宋体" w:cs="宋体"/>
          <w:b w:val="0"/>
          <w:sz w:val="24"/>
          <w:szCs w:val="24"/>
          <w:highlight w:val="none"/>
        </w:rPr>
        <w:t>六、履约保证金</w:t>
      </w:r>
      <w:r>
        <w:rPr>
          <w:rFonts w:hint="eastAsia" w:ascii="宋体" w:hAnsi="宋体" w:cs="宋体"/>
          <w:b w:val="0"/>
          <w:sz w:val="24"/>
          <w:szCs w:val="24"/>
          <w:highlight w:val="none"/>
        </w:rPr>
        <w:tab/>
      </w:r>
      <w:r>
        <w:rPr>
          <w:rFonts w:ascii="宋体" w:hAnsi="宋体" w:cs="宋体"/>
          <w:b w:val="0"/>
          <w:sz w:val="24"/>
          <w:szCs w:val="24"/>
          <w:highlight w:val="none"/>
        </w:rPr>
        <w:t>5</w:t>
      </w:r>
      <w:r>
        <w:rPr>
          <w:rFonts w:ascii="宋体" w:hAnsi="宋体" w:cs="宋体"/>
          <w:b w:val="0"/>
          <w:sz w:val="24"/>
          <w:szCs w:val="24"/>
          <w:highlight w:val="none"/>
        </w:rPr>
        <w:fldChar w:fldCharType="end"/>
      </w:r>
    </w:p>
    <w:p>
      <w:pPr>
        <w:pStyle w:val="29"/>
        <w:tabs>
          <w:tab w:val="right" w:leader="dot" w:pos="8313"/>
        </w:tabs>
        <w:spacing w:before="118" w:line="276" w:lineRule="auto"/>
        <w:ind w:left="0"/>
        <w:rPr>
          <w:rFonts w:ascii="宋体" w:hAnsi="宋体" w:cs="宋体"/>
          <w:b w:val="0"/>
          <w:sz w:val="24"/>
          <w:szCs w:val="24"/>
          <w:highlight w:val="none"/>
        </w:rPr>
      </w:pPr>
    </w:p>
    <w:p>
      <w:pPr>
        <w:spacing w:line="276" w:lineRule="auto"/>
        <w:rPr>
          <w:rFonts w:ascii="宋体" w:hAnsi="宋体" w:cs="宋体"/>
          <w:bCs/>
          <w:sz w:val="24"/>
          <w:szCs w:val="24"/>
          <w:highlight w:val="none"/>
        </w:rPr>
      </w:pPr>
      <w:r>
        <w:rPr>
          <w:rFonts w:hint="eastAsia" w:ascii="宋体" w:hAnsi="宋体" w:cs="宋体"/>
          <w:bCs/>
          <w:sz w:val="24"/>
          <w:szCs w:val="24"/>
          <w:highlight w:val="none"/>
        </w:rPr>
        <w:t xml:space="preserve">                                </w:t>
      </w:r>
      <w:r>
        <w:rPr>
          <w:rFonts w:hint="eastAsia" w:ascii="宋体" w:hAnsi="宋体" w:cs="宋体"/>
          <w:b/>
          <w:sz w:val="24"/>
          <w:szCs w:val="24"/>
          <w:highlight w:val="none"/>
        </w:rPr>
        <w:t>第二篇  项目商务要求</w:t>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"_Toc31258" </w:instrText>
      </w:r>
      <w:r>
        <w:rPr>
          <w:highlight w:val="none"/>
        </w:rPr>
        <w:fldChar w:fldCharType="separate"/>
      </w:r>
      <w:r>
        <w:rPr>
          <w:rFonts w:hint="eastAsia" w:ascii="宋体" w:hAnsi="宋体" w:cs="宋体"/>
          <w:b w:val="0"/>
          <w:sz w:val="24"/>
          <w:szCs w:val="24"/>
          <w:highlight w:val="none"/>
        </w:rPr>
        <w:t>一、联合经营时间、地点</w:t>
      </w:r>
      <w:r>
        <w:rPr>
          <w:rFonts w:hint="eastAsia" w:ascii="宋体" w:hAnsi="宋体" w:cs="宋体"/>
          <w:b w:val="0"/>
          <w:sz w:val="24"/>
          <w:szCs w:val="24"/>
          <w:highlight w:val="none"/>
        </w:rPr>
        <w:tab/>
      </w:r>
      <w:r>
        <w:rPr>
          <w:rFonts w:ascii="宋体" w:hAnsi="宋体" w:cs="宋体"/>
          <w:b w:val="0"/>
          <w:sz w:val="24"/>
          <w:szCs w:val="24"/>
          <w:highlight w:val="none"/>
        </w:rPr>
        <w:t>5</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"_Toc8501" </w:instrText>
      </w:r>
      <w:r>
        <w:rPr>
          <w:highlight w:val="none"/>
        </w:rPr>
        <w:fldChar w:fldCharType="separate"/>
      </w:r>
      <w:r>
        <w:rPr>
          <w:rFonts w:hint="eastAsia" w:ascii="宋体" w:hAnsi="宋体" w:cs="宋体"/>
          <w:b w:val="0"/>
          <w:sz w:val="24"/>
          <w:szCs w:val="24"/>
          <w:highlight w:val="none"/>
        </w:rPr>
        <w:t>二、联合经营整体要求</w:t>
      </w:r>
      <w:r>
        <w:rPr>
          <w:rFonts w:hint="eastAsia" w:ascii="宋体" w:hAnsi="宋体" w:cs="宋体"/>
          <w:b w:val="0"/>
          <w:sz w:val="24"/>
          <w:szCs w:val="24"/>
          <w:highlight w:val="none"/>
        </w:rPr>
        <w:tab/>
      </w:r>
      <w:r>
        <w:rPr>
          <w:rFonts w:ascii="宋体" w:hAnsi="宋体" w:cs="宋体"/>
          <w:b w:val="0"/>
          <w:sz w:val="24"/>
          <w:szCs w:val="24"/>
          <w:highlight w:val="none"/>
        </w:rPr>
        <w:t>5-13</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"_Toc16613" </w:instrText>
      </w:r>
      <w:r>
        <w:rPr>
          <w:highlight w:val="none"/>
        </w:rPr>
        <w:fldChar w:fldCharType="separate"/>
      </w:r>
      <w:r>
        <w:rPr>
          <w:rFonts w:hint="eastAsia" w:ascii="宋体" w:hAnsi="宋体" w:cs="宋体"/>
          <w:b w:val="0"/>
          <w:sz w:val="24"/>
          <w:szCs w:val="24"/>
          <w:highlight w:val="none"/>
        </w:rPr>
        <w:t>三、联合经营期间的其他具体要求</w:t>
      </w:r>
      <w:r>
        <w:rPr>
          <w:rFonts w:hint="eastAsia" w:ascii="宋体" w:hAnsi="宋体" w:cs="宋体"/>
          <w:b w:val="0"/>
          <w:sz w:val="24"/>
          <w:szCs w:val="24"/>
          <w:highlight w:val="none"/>
        </w:rPr>
        <w:tab/>
      </w:r>
      <w:r>
        <w:rPr>
          <w:rFonts w:ascii="宋体" w:hAnsi="宋体" w:cs="宋体"/>
          <w:b w:val="0"/>
          <w:sz w:val="24"/>
          <w:szCs w:val="24"/>
          <w:highlight w:val="none"/>
        </w:rPr>
        <w:t>13</w:t>
      </w:r>
      <w:r>
        <w:rPr>
          <w:rFonts w:ascii="宋体" w:hAnsi="宋体" w:cs="宋体"/>
          <w:b w:val="0"/>
          <w:sz w:val="24"/>
          <w:szCs w:val="24"/>
          <w:highlight w:val="none"/>
        </w:rPr>
        <w:fldChar w:fldCharType="end"/>
      </w:r>
      <w:r>
        <w:rPr>
          <w:rFonts w:ascii="宋体" w:hAnsi="宋体" w:cs="宋体"/>
          <w:b w:val="0"/>
          <w:sz w:val="24"/>
          <w:szCs w:val="24"/>
          <w:highlight w:val="none"/>
        </w:rPr>
        <w:t>-15</w:t>
      </w:r>
    </w:p>
    <w:p>
      <w:pPr>
        <w:spacing w:line="276" w:lineRule="auto"/>
        <w:rPr>
          <w:highlight w:val="none"/>
        </w:rPr>
      </w:pPr>
    </w:p>
    <w:p>
      <w:pPr>
        <w:spacing w:line="276" w:lineRule="auto"/>
        <w:rPr>
          <w:rFonts w:ascii="宋体" w:hAnsi="宋体" w:cs="宋体"/>
          <w:bCs/>
          <w:sz w:val="24"/>
          <w:szCs w:val="24"/>
          <w:highlight w:val="none"/>
        </w:rPr>
      </w:pPr>
      <w:r>
        <w:rPr>
          <w:rFonts w:hint="eastAsia" w:ascii="宋体" w:hAnsi="宋体" w:cs="宋体"/>
          <w:bCs/>
          <w:sz w:val="24"/>
          <w:szCs w:val="24"/>
          <w:highlight w:val="none"/>
        </w:rPr>
        <w:t xml:space="preserve">              </w:t>
      </w:r>
      <w:r>
        <w:rPr>
          <w:rFonts w:hint="eastAsia" w:ascii="宋体" w:hAnsi="宋体" w:cs="宋体"/>
          <w:b/>
          <w:sz w:val="24"/>
          <w:szCs w:val="24"/>
          <w:highlight w:val="none"/>
        </w:rPr>
        <w:t xml:space="preserve"> 第三篇  评审方法、评审标准、无效参竞条款、终止条款</w:t>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"_Toc15617" </w:instrText>
      </w:r>
      <w:r>
        <w:rPr>
          <w:highlight w:val="none"/>
        </w:rPr>
        <w:fldChar w:fldCharType="separate"/>
      </w:r>
      <w:r>
        <w:rPr>
          <w:rFonts w:hint="eastAsia" w:ascii="宋体" w:hAnsi="宋体" w:cs="宋体"/>
          <w:b w:val="0"/>
          <w:sz w:val="24"/>
          <w:szCs w:val="24"/>
          <w:highlight w:val="none"/>
        </w:rPr>
        <w:t>一、评审方法</w:t>
      </w:r>
      <w:r>
        <w:rPr>
          <w:rFonts w:hint="eastAsia" w:ascii="宋体" w:hAnsi="宋体" w:cs="宋体"/>
          <w:b w:val="0"/>
          <w:sz w:val="24"/>
          <w:szCs w:val="24"/>
          <w:highlight w:val="none"/>
        </w:rPr>
        <w:tab/>
      </w:r>
      <w:r>
        <w:rPr>
          <w:rFonts w:hint="eastAsia" w:ascii="宋体" w:hAnsi="宋体" w:cs="宋体"/>
          <w:b w:val="0"/>
          <w:sz w:val="24"/>
          <w:szCs w:val="24"/>
          <w:highlight w:val="none"/>
        </w:rPr>
        <w:fldChar w:fldCharType="begin"/>
      </w:r>
      <w:r>
        <w:rPr>
          <w:rFonts w:hint="eastAsia" w:ascii="宋体" w:hAnsi="宋体" w:cs="宋体"/>
          <w:b w:val="0"/>
          <w:sz w:val="24"/>
          <w:szCs w:val="24"/>
          <w:highlight w:val="none"/>
        </w:rPr>
        <w:instrText xml:space="preserve"> PAGEREF _Toc15617 \h </w:instrText>
      </w:r>
      <w:r>
        <w:rPr>
          <w:rFonts w:hint="eastAsia" w:ascii="宋体" w:hAnsi="宋体" w:cs="宋体"/>
          <w:b w:val="0"/>
          <w:sz w:val="24"/>
          <w:szCs w:val="24"/>
          <w:highlight w:val="none"/>
        </w:rPr>
        <w:fldChar w:fldCharType="separate"/>
      </w:r>
      <w:r>
        <w:rPr>
          <w:rFonts w:ascii="宋体" w:hAnsi="宋体" w:cs="宋体"/>
          <w:b w:val="0"/>
          <w:sz w:val="24"/>
          <w:szCs w:val="24"/>
          <w:highlight w:val="none"/>
        </w:rPr>
        <w:t>15</w:t>
      </w:r>
      <w:r>
        <w:rPr>
          <w:rFonts w:hint="eastAsia" w:ascii="宋体" w:hAnsi="宋体" w:cs="宋体"/>
          <w:b w:val="0"/>
          <w:sz w:val="24"/>
          <w:szCs w:val="24"/>
          <w:highlight w:val="none"/>
        </w:rPr>
        <w:fldChar w:fldCharType="end"/>
      </w:r>
      <w:r>
        <w:rPr>
          <w:rFonts w:hint="eastAsia" w:ascii="宋体" w:hAnsi="宋体" w:cs="宋体"/>
          <w:b w:val="0"/>
          <w:sz w:val="24"/>
          <w:szCs w:val="24"/>
          <w:highlight w:val="none"/>
        </w:rPr>
        <w:fldChar w:fldCharType="end"/>
      </w:r>
      <w:r>
        <w:rPr>
          <w:rFonts w:ascii="宋体" w:hAnsi="宋体" w:cs="宋体"/>
          <w:b w:val="0"/>
          <w:sz w:val="24"/>
          <w:szCs w:val="24"/>
          <w:highlight w:val="none"/>
        </w:rPr>
        <w:t>-17</w:t>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"_Toc10387" </w:instrText>
      </w:r>
      <w:r>
        <w:rPr>
          <w:highlight w:val="none"/>
        </w:rPr>
        <w:fldChar w:fldCharType="separate"/>
      </w:r>
      <w:r>
        <w:rPr>
          <w:rFonts w:hint="eastAsia" w:ascii="宋体" w:hAnsi="宋体" w:cs="宋体"/>
          <w:b w:val="0"/>
          <w:sz w:val="24"/>
          <w:szCs w:val="24"/>
          <w:highlight w:val="none"/>
        </w:rPr>
        <w:t>二、 评审标准</w:t>
      </w:r>
      <w:r>
        <w:rPr>
          <w:rFonts w:hint="eastAsia" w:ascii="宋体" w:hAnsi="宋体" w:cs="宋体"/>
          <w:b w:val="0"/>
          <w:sz w:val="24"/>
          <w:szCs w:val="24"/>
          <w:highlight w:val="none"/>
        </w:rPr>
        <w:tab/>
      </w:r>
      <w:r>
        <w:rPr>
          <w:rFonts w:hint="eastAsia" w:ascii="宋体" w:hAnsi="宋体" w:cs="宋体"/>
          <w:b w:val="0"/>
          <w:sz w:val="24"/>
          <w:szCs w:val="24"/>
          <w:highlight w:val="none"/>
        </w:rPr>
        <w:fldChar w:fldCharType="begin"/>
      </w:r>
      <w:r>
        <w:rPr>
          <w:rFonts w:hint="eastAsia" w:ascii="宋体" w:hAnsi="宋体" w:cs="宋体"/>
          <w:b w:val="0"/>
          <w:sz w:val="24"/>
          <w:szCs w:val="24"/>
          <w:highlight w:val="none"/>
        </w:rPr>
        <w:instrText xml:space="preserve"> PAGEREF _Toc10387 \h </w:instrText>
      </w:r>
      <w:r>
        <w:rPr>
          <w:rFonts w:hint="eastAsia" w:ascii="宋体" w:hAnsi="宋体" w:cs="宋体"/>
          <w:b w:val="0"/>
          <w:sz w:val="24"/>
          <w:szCs w:val="24"/>
          <w:highlight w:val="none"/>
        </w:rPr>
        <w:fldChar w:fldCharType="separate"/>
      </w:r>
      <w:r>
        <w:rPr>
          <w:rFonts w:ascii="宋体" w:hAnsi="宋体" w:cs="宋体"/>
          <w:b w:val="0"/>
          <w:sz w:val="24"/>
          <w:szCs w:val="24"/>
          <w:highlight w:val="none"/>
        </w:rPr>
        <w:t>17</w:t>
      </w:r>
      <w:r>
        <w:rPr>
          <w:rFonts w:hint="eastAsia" w:ascii="宋体" w:hAnsi="宋体" w:cs="宋体"/>
          <w:b w:val="0"/>
          <w:sz w:val="24"/>
          <w:szCs w:val="24"/>
          <w:highlight w:val="none"/>
        </w:rPr>
        <w:fldChar w:fldCharType="end"/>
      </w:r>
      <w:r>
        <w:rPr>
          <w:rFonts w:hint="eastAsia" w:ascii="宋体" w:hAnsi="宋体" w:cs="宋体"/>
          <w:b w:val="0"/>
          <w:sz w:val="24"/>
          <w:szCs w:val="24"/>
          <w:highlight w:val="none"/>
        </w:rPr>
        <w:fldChar w:fldCharType="end"/>
      </w:r>
      <w:r>
        <w:rPr>
          <w:rFonts w:ascii="宋体" w:hAnsi="宋体" w:cs="宋体"/>
          <w:b w:val="0"/>
          <w:sz w:val="24"/>
          <w:szCs w:val="24"/>
          <w:highlight w:val="none"/>
        </w:rPr>
        <w:t>-23</w:t>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"_Toc12761" </w:instrText>
      </w:r>
      <w:r>
        <w:rPr>
          <w:highlight w:val="none"/>
        </w:rPr>
        <w:fldChar w:fldCharType="separate"/>
      </w:r>
      <w:r>
        <w:rPr>
          <w:rFonts w:hint="eastAsia" w:ascii="宋体" w:hAnsi="宋体" w:cs="宋体"/>
          <w:b w:val="0"/>
          <w:sz w:val="24"/>
          <w:szCs w:val="24"/>
          <w:highlight w:val="none"/>
        </w:rPr>
        <w:t>三、无效参竞条款</w:t>
      </w:r>
      <w:r>
        <w:rPr>
          <w:rFonts w:hint="eastAsia" w:ascii="宋体" w:hAnsi="宋体" w:cs="宋体"/>
          <w:b w:val="0"/>
          <w:sz w:val="24"/>
          <w:szCs w:val="24"/>
          <w:highlight w:val="none"/>
        </w:rPr>
        <w:tab/>
      </w:r>
      <w:r>
        <w:rPr>
          <w:rFonts w:ascii="宋体" w:hAnsi="宋体" w:cs="宋体"/>
          <w:b w:val="0"/>
          <w:sz w:val="24"/>
          <w:szCs w:val="24"/>
          <w:highlight w:val="none"/>
        </w:rPr>
        <w:t>23</w:t>
      </w:r>
      <w:r>
        <w:rPr>
          <w:rFonts w:ascii="宋体" w:hAnsi="宋体" w:cs="宋体"/>
          <w:b w:val="0"/>
          <w:sz w:val="24"/>
          <w:szCs w:val="24"/>
          <w:highlight w:val="none"/>
        </w:rPr>
        <w:fldChar w:fldCharType="end"/>
      </w:r>
    </w:p>
    <w:p>
      <w:pPr>
        <w:pStyle w:val="29"/>
        <w:tabs>
          <w:tab w:val="right" w:leader="dot" w:pos="8313"/>
        </w:tabs>
        <w:spacing w:before="118" w:line="276" w:lineRule="auto"/>
        <w:rPr>
          <w:sz w:val="28"/>
          <w:szCs w:val="20"/>
          <w:highlight w:val="none"/>
        </w:rPr>
      </w:pPr>
      <w:r>
        <w:rPr>
          <w:highlight w:val="none"/>
        </w:rPr>
        <w:fldChar w:fldCharType="begin"/>
      </w:r>
      <w:r>
        <w:rPr>
          <w:highlight w:val="none"/>
        </w:rPr>
        <w:instrText xml:space="preserve"> HYPERLINK \l "_Toc12761" </w:instrText>
      </w:r>
      <w:r>
        <w:rPr>
          <w:highlight w:val="none"/>
        </w:rPr>
        <w:fldChar w:fldCharType="separate"/>
      </w:r>
      <w:r>
        <w:rPr>
          <w:rFonts w:hint="eastAsia" w:ascii="宋体" w:hAnsi="宋体" w:cs="宋体"/>
          <w:b w:val="0"/>
          <w:sz w:val="24"/>
          <w:szCs w:val="24"/>
          <w:highlight w:val="none"/>
        </w:rPr>
        <w:t>四、终止条款</w:t>
      </w:r>
      <w:r>
        <w:rPr>
          <w:rFonts w:hint="eastAsia" w:ascii="宋体" w:hAnsi="宋体" w:cs="宋体"/>
          <w:b w:val="0"/>
          <w:sz w:val="24"/>
          <w:szCs w:val="24"/>
          <w:highlight w:val="none"/>
        </w:rPr>
        <w:tab/>
      </w:r>
      <w:r>
        <w:rPr>
          <w:rFonts w:ascii="宋体" w:hAnsi="宋体" w:cs="宋体"/>
          <w:b w:val="0"/>
          <w:sz w:val="24"/>
          <w:szCs w:val="24"/>
          <w:highlight w:val="none"/>
        </w:rPr>
        <w:t>24</w:t>
      </w:r>
      <w:r>
        <w:rPr>
          <w:rFonts w:ascii="宋体" w:hAnsi="宋体" w:cs="宋体"/>
          <w:b w:val="0"/>
          <w:sz w:val="24"/>
          <w:szCs w:val="24"/>
          <w:highlight w:val="none"/>
        </w:rPr>
        <w:fldChar w:fldCharType="end"/>
      </w:r>
    </w:p>
    <w:p>
      <w:pPr>
        <w:spacing w:line="276" w:lineRule="auto"/>
        <w:rPr>
          <w:rFonts w:ascii="宋体" w:hAnsi="宋体" w:cs="宋体"/>
          <w:bCs/>
          <w:sz w:val="24"/>
          <w:szCs w:val="24"/>
          <w:highlight w:val="none"/>
        </w:rPr>
      </w:pPr>
      <w:r>
        <w:rPr>
          <w:rFonts w:hint="eastAsia" w:ascii="宋体" w:hAnsi="宋体" w:cs="宋体"/>
          <w:bCs/>
          <w:sz w:val="24"/>
          <w:szCs w:val="24"/>
          <w:highlight w:val="none"/>
        </w:rPr>
        <w:t xml:space="preserve">                             </w:t>
      </w:r>
      <w:r>
        <w:rPr>
          <w:rFonts w:hint="eastAsia" w:ascii="宋体" w:hAnsi="宋体" w:cs="宋体"/>
          <w:b/>
          <w:sz w:val="24"/>
          <w:szCs w:val="24"/>
          <w:highlight w:val="none"/>
        </w:rPr>
        <w:t xml:space="preserve"> 第四篇    参竞人须知</w:t>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"_Toc12039" </w:instrText>
      </w:r>
      <w:r>
        <w:rPr>
          <w:highlight w:val="none"/>
        </w:rPr>
        <w:fldChar w:fldCharType="separate"/>
      </w:r>
      <w:r>
        <w:rPr>
          <w:rFonts w:hint="eastAsia" w:ascii="宋体" w:hAnsi="宋体" w:cs="宋体"/>
          <w:b w:val="0"/>
          <w:sz w:val="24"/>
          <w:szCs w:val="24"/>
          <w:highlight w:val="none"/>
        </w:rPr>
        <w:t>一、参竞费用</w:t>
      </w:r>
      <w:r>
        <w:rPr>
          <w:rFonts w:hint="eastAsia" w:ascii="宋体" w:hAnsi="宋体" w:cs="宋体"/>
          <w:b w:val="0"/>
          <w:sz w:val="24"/>
          <w:szCs w:val="24"/>
          <w:highlight w:val="none"/>
        </w:rPr>
        <w:tab/>
      </w:r>
      <w:r>
        <w:rPr>
          <w:rFonts w:ascii="宋体" w:hAnsi="宋体" w:cs="宋体"/>
          <w:b w:val="0"/>
          <w:sz w:val="24"/>
          <w:szCs w:val="24"/>
          <w:highlight w:val="none"/>
        </w:rPr>
        <w:t>24</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"_Toc13740" </w:instrText>
      </w:r>
      <w:r>
        <w:rPr>
          <w:highlight w:val="none"/>
        </w:rPr>
        <w:fldChar w:fldCharType="separate"/>
      </w:r>
      <w:r>
        <w:rPr>
          <w:rFonts w:hint="eastAsia" w:ascii="宋体" w:hAnsi="宋体" w:cs="宋体"/>
          <w:b w:val="0"/>
          <w:sz w:val="24"/>
          <w:szCs w:val="24"/>
          <w:highlight w:val="none"/>
        </w:rPr>
        <w:t>二、参竞人</w:t>
      </w:r>
      <w:r>
        <w:rPr>
          <w:rFonts w:hint="eastAsia" w:ascii="宋体" w:hAnsi="宋体" w:cs="宋体"/>
          <w:b w:val="0"/>
          <w:sz w:val="24"/>
          <w:szCs w:val="24"/>
          <w:highlight w:val="none"/>
        </w:rPr>
        <w:tab/>
      </w:r>
      <w:r>
        <w:rPr>
          <w:rFonts w:ascii="宋体" w:hAnsi="宋体" w:cs="宋体"/>
          <w:b w:val="0"/>
          <w:sz w:val="24"/>
          <w:szCs w:val="24"/>
          <w:highlight w:val="none"/>
        </w:rPr>
        <w:t>24</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"_Toc2977" </w:instrText>
      </w:r>
      <w:r>
        <w:rPr>
          <w:highlight w:val="none"/>
        </w:rPr>
        <w:fldChar w:fldCharType="separate"/>
      </w:r>
      <w:r>
        <w:rPr>
          <w:rFonts w:hint="eastAsia" w:ascii="宋体" w:hAnsi="宋体" w:cs="宋体"/>
          <w:b w:val="0"/>
          <w:sz w:val="24"/>
          <w:szCs w:val="24"/>
          <w:highlight w:val="none"/>
        </w:rPr>
        <w:t>三、食堂联合经营项目文件</w:t>
      </w:r>
      <w:r>
        <w:rPr>
          <w:rFonts w:hint="eastAsia" w:ascii="宋体" w:hAnsi="宋体" w:cs="宋体"/>
          <w:b w:val="0"/>
          <w:sz w:val="24"/>
          <w:szCs w:val="24"/>
          <w:highlight w:val="none"/>
        </w:rPr>
        <w:tab/>
      </w:r>
      <w:r>
        <w:rPr>
          <w:rFonts w:ascii="宋体" w:hAnsi="宋体" w:cs="宋体"/>
          <w:b w:val="0"/>
          <w:sz w:val="24"/>
          <w:szCs w:val="24"/>
          <w:highlight w:val="none"/>
        </w:rPr>
        <w:t>24</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"_Toc24261" </w:instrText>
      </w:r>
      <w:r>
        <w:rPr>
          <w:highlight w:val="none"/>
        </w:rPr>
        <w:fldChar w:fldCharType="separate"/>
      </w:r>
      <w:r>
        <w:rPr>
          <w:rFonts w:hint="eastAsia" w:ascii="宋体" w:hAnsi="宋体" w:cs="宋体"/>
          <w:b w:val="0"/>
          <w:sz w:val="24"/>
          <w:szCs w:val="24"/>
          <w:highlight w:val="none"/>
        </w:rPr>
        <w:t>四、参竞文件</w:t>
      </w:r>
      <w:r>
        <w:rPr>
          <w:rFonts w:hint="eastAsia" w:ascii="宋体" w:hAnsi="宋体" w:cs="宋体"/>
          <w:b w:val="0"/>
          <w:sz w:val="24"/>
          <w:szCs w:val="24"/>
          <w:highlight w:val="none"/>
        </w:rPr>
        <w:tab/>
      </w:r>
      <w:r>
        <w:rPr>
          <w:rFonts w:ascii="宋体" w:hAnsi="宋体" w:cs="宋体"/>
          <w:b w:val="0"/>
          <w:sz w:val="24"/>
          <w:szCs w:val="24"/>
          <w:highlight w:val="none"/>
        </w:rPr>
        <w:t>24-26</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"_Toc28229" </w:instrText>
      </w:r>
      <w:r>
        <w:rPr>
          <w:highlight w:val="none"/>
        </w:rPr>
        <w:fldChar w:fldCharType="separate"/>
      </w:r>
      <w:r>
        <w:rPr>
          <w:rFonts w:hint="eastAsia" w:ascii="宋体" w:hAnsi="宋体" w:cs="宋体"/>
          <w:b w:val="0"/>
          <w:sz w:val="24"/>
          <w:szCs w:val="24"/>
          <w:highlight w:val="none"/>
        </w:rPr>
        <w:t>五、现场评审</w:t>
      </w:r>
      <w:r>
        <w:rPr>
          <w:rFonts w:hint="eastAsia" w:ascii="宋体" w:hAnsi="宋体" w:cs="宋体"/>
          <w:b w:val="0"/>
          <w:sz w:val="24"/>
          <w:szCs w:val="24"/>
          <w:highlight w:val="none"/>
        </w:rPr>
        <w:tab/>
      </w:r>
      <w:r>
        <w:rPr>
          <w:rFonts w:ascii="宋体" w:hAnsi="宋体" w:cs="宋体"/>
          <w:b w:val="0"/>
          <w:sz w:val="24"/>
          <w:szCs w:val="24"/>
          <w:highlight w:val="none"/>
        </w:rPr>
        <w:t>26</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"_Toc20386" </w:instrText>
      </w:r>
      <w:r>
        <w:rPr>
          <w:highlight w:val="none"/>
        </w:rPr>
        <w:fldChar w:fldCharType="separate"/>
      </w:r>
      <w:r>
        <w:rPr>
          <w:rFonts w:hint="eastAsia" w:ascii="宋体" w:hAnsi="宋体" w:cs="宋体"/>
          <w:b w:val="0"/>
          <w:sz w:val="24"/>
          <w:szCs w:val="24"/>
          <w:highlight w:val="none"/>
        </w:rPr>
        <w:t>六、评审</w:t>
      </w:r>
      <w:r>
        <w:rPr>
          <w:rFonts w:hint="eastAsia" w:ascii="宋体" w:hAnsi="宋体" w:cs="宋体"/>
          <w:b w:val="0"/>
          <w:sz w:val="24"/>
          <w:szCs w:val="24"/>
          <w:highlight w:val="none"/>
        </w:rPr>
        <w:tab/>
      </w:r>
      <w:r>
        <w:rPr>
          <w:rFonts w:ascii="宋体" w:hAnsi="宋体" w:cs="宋体"/>
          <w:b w:val="0"/>
          <w:sz w:val="24"/>
          <w:szCs w:val="24"/>
          <w:highlight w:val="none"/>
        </w:rPr>
        <w:t>26</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"_Toc21609" </w:instrText>
      </w:r>
      <w:r>
        <w:rPr>
          <w:highlight w:val="none"/>
        </w:rPr>
        <w:fldChar w:fldCharType="separate"/>
      </w:r>
      <w:r>
        <w:rPr>
          <w:rFonts w:hint="eastAsia" w:ascii="宋体" w:hAnsi="宋体" w:cs="宋体"/>
          <w:b w:val="0"/>
          <w:sz w:val="24"/>
          <w:szCs w:val="24"/>
          <w:highlight w:val="none"/>
        </w:rPr>
        <w:t>七、拟成交人确定</w:t>
      </w:r>
      <w:r>
        <w:rPr>
          <w:rFonts w:hint="eastAsia" w:ascii="宋体" w:hAnsi="宋体" w:cs="宋体"/>
          <w:b w:val="0"/>
          <w:sz w:val="24"/>
          <w:szCs w:val="24"/>
          <w:highlight w:val="none"/>
        </w:rPr>
        <w:tab/>
      </w:r>
      <w:r>
        <w:rPr>
          <w:rFonts w:ascii="宋体" w:hAnsi="宋体" w:cs="宋体"/>
          <w:b w:val="0"/>
          <w:sz w:val="24"/>
          <w:szCs w:val="24"/>
          <w:highlight w:val="none"/>
        </w:rPr>
        <w:t>27</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"_Toc9369" </w:instrText>
      </w:r>
      <w:r>
        <w:rPr>
          <w:highlight w:val="none"/>
        </w:rPr>
        <w:fldChar w:fldCharType="separate"/>
      </w:r>
      <w:r>
        <w:rPr>
          <w:rFonts w:hint="eastAsia" w:ascii="宋体" w:hAnsi="宋体" w:cs="宋体"/>
          <w:b w:val="0"/>
          <w:sz w:val="24"/>
          <w:szCs w:val="24"/>
          <w:highlight w:val="none"/>
        </w:rPr>
        <w:t>八、联合经营方对拟成交结果的质疑、投诉</w:t>
      </w:r>
      <w:r>
        <w:rPr>
          <w:rFonts w:hint="eastAsia" w:ascii="宋体" w:hAnsi="宋体" w:cs="宋体"/>
          <w:b w:val="0"/>
          <w:sz w:val="24"/>
          <w:szCs w:val="24"/>
          <w:highlight w:val="none"/>
        </w:rPr>
        <w:tab/>
      </w:r>
      <w:r>
        <w:rPr>
          <w:rFonts w:ascii="宋体" w:hAnsi="宋体" w:cs="宋体"/>
          <w:b w:val="0"/>
          <w:sz w:val="24"/>
          <w:szCs w:val="24"/>
          <w:highlight w:val="none"/>
        </w:rPr>
        <w:t>27</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"_Toc20398" </w:instrText>
      </w:r>
      <w:r>
        <w:rPr>
          <w:highlight w:val="none"/>
        </w:rPr>
        <w:fldChar w:fldCharType="separate"/>
      </w:r>
      <w:r>
        <w:rPr>
          <w:rFonts w:hint="eastAsia" w:ascii="宋体" w:hAnsi="宋体" w:cs="宋体"/>
          <w:b w:val="0"/>
          <w:sz w:val="24"/>
          <w:szCs w:val="24"/>
          <w:highlight w:val="none"/>
        </w:rPr>
        <w:t>九、签订合同</w:t>
      </w:r>
      <w:r>
        <w:rPr>
          <w:rFonts w:hint="eastAsia" w:ascii="宋体" w:hAnsi="宋体" w:cs="宋体"/>
          <w:b w:val="0"/>
          <w:sz w:val="24"/>
          <w:szCs w:val="24"/>
          <w:highlight w:val="none"/>
        </w:rPr>
        <w:tab/>
      </w:r>
      <w:r>
        <w:rPr>
          <w:rFonts w:ascii="宋体" w:hAnsi="宋体" w:cs="宋体"/>
          <w:b w:val="0"/>
          <w:sz w:val="24"/>
          <w:szCs w:val="24"/>
          <w:highlight w:val="none"/>
        </w:rPr>
        <w:t>27-28</w:t>
      </w:r>
      <w:r>
        <w:rPr>
          <w:rFonts w:ascii="宋体" w:hAnsi="宋体" w:cs="宋体"/>
          <w:b w:val="0"/>
          <w:sz w:val="24"/>
          <w:szCs w:val="24"/>
          <w:highlight w:val="none"/>
        </w:rPr>
        <w:fldChar w:fldCharType="end"/>
      </w:r>
    </w:p>
    <w:p>
      <w:pPr>
        <w:pStyle w:val="24"/>
        <w:tabs>
          <w:tab w:val="right" w:leader="dot" w:pos="8313"/>
        </w:tabs>
        <w:spacing w:before="118" w:line="276" w:lineRule="auto"/>
        <w:ind w:firstLine="2756" w:firstLineChars="1300"/>
        <w:rPr>
          <w:rFonts w:ascii="宋体" w:hAnsi="宋体" w:cs="宋体"/>
          <w:bCs w:val="0"/>
          <w:i w:val="0"/>
          <w:iCs w:val="0"/>
          <w:szCs w:val="24"/>
          <w:highlight w:val="none"/>
        </w:rPr>
      </w:pPr>
      <w:r>
        <w:rPr>
          <w:highlight w:val="none"/>
        </w:rPr>
        <w:fldChar w:fldCharType="begin"/>
      </w:r>
      <w:r>
        <w:rPr>
          <w:highlight w:val="none"/>
        </w:rPr>
        <w:instrText xml:space="preserve"> HYPERLINK \l "_Toc23880" </w:instrText>
      </w:r>
      <w:r>
        <w:rPr>
          <w:highlight w:val="none"/>
        </w:rPr>
        <w:fldChar w:fldCharType="separate"/>
      </w:r>
      <w:r>
        <w:rPr>
          <w:rFonts w:hint="eastAsia" w:ascii="宋体" w:hAnsi="宋体" w:cs="宋体"/>
          <w:bCs w:val="0"/>
          <w:i w:val="0"/>
          <w:iCs w:val="0"/>
          <w:szCs w:val="24"/>
          <w:highlight w:val="none"/>
        </w:rPr>
        <w:t>第五篇   参竞文件格式</w:t>
      </w:r>
      <w:r>
        <w:rPr>
          <w:rFonts w:hint="eastAsia" w:ascii="宋体" w:hAnsi="宋体" w:cs="宋体"/>
          <w:bCs w:val="0"/>
          <w:i w:val="0"/>
          <w:iCs w:val="0"/>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"_Toc9935" </w:instrText>
      </w:r>
      <w:r>
        <w:rPr>
          <w:highlight w:val="none"/>
        </w:rPr>
        <w:fldChar w:fldCharType="separate"/>
      </w:r>
      <w:r>
        <w:rPr>
          <w:rFonts w:hint="eastAsia" w:ascii="宋体" w:hAnsi="宋体" w:cs="宋体"/>
          <w:b w:val="0"/>
          <w:sz w:val="24"/>
          <w:szCs w:val="24"/>
          <w:highlight w:val="none"/>
        </w:rPr>
        <w:t>一、资格性审查证明文件</w:t>
      </w:r>
      <w:r>
        <w:rPr>
          <w:rFonts w:hint="eastAsia" w:ascii="宋体" w:hAnsi="宋体" w:cs="宋体"/>
          <w:b w:val="0"/>
          <w:sz w:val="24"/>
          <w:szCs w:val="24"/>
          <w:highlight w:val="none"/>
        </w:rPr>
        <w:tab/>
      </w:r>
      <w:r>
        <w:rPr>
          <w:rFonts w:ascii="宋体" w:hAnsi="宋体" w:cs="宋体"/>
          <w:b w:val="0"/>
          <w:sz w:val="24"/>
          <w:szCs w:val="24"/>
          <w:highlight w:val="none"/>
        </w:rPr>
        <w:t>28</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"_Toc25044" </w:instrText>
      </w:r>
      <w:r>
        <w:rPr>
          <w:highlight w:val="none"/>
        </w:rPr>
        <w:fldChar w:fldCharType="separate"/>
      </w:r>
      <w:r>
        <w:rPr>
          <w:rFonts w:hint="eastAsia" w:ascii="宋体" w:hAnsi="宋体" w:cs="宋体"/>
          <w:b w:val="0"/>
          <w:sz w:val="24"/>
          <w:szCs w:val="24"/>
          <w:highlight w:val="none"/>
        </w:rPr>
        <w:t>二、参竞人基本情况表</w:t>
      </w:r>
      <w:r>
        <w:rPr>
          <w:rFonts w:hint="eastAsia" w:ascii="宋体" w:hAnsi="宋体" w:cs="宋体"/>
          <w:b w:val="0"/>
          <w:sz w:val="24"/>
          <w:szCs w:val="24"/>
          <w:highlight w:val="none"/>
        </w:rPr>
        <w:tab/>
      </w:r>
      <w:r>
        <w:rPr>
          <w:rFonts w:ascii="宋体" w:hAnsi="宋体" w:cs="宋体"/>
          <w:b w:val="0"/>
          <w:sz w:val="24"/>
          <w:szCs w:val="24"/>
          <w:highlight w:val="none"/>
        </w:rPr>
        <w:t>28</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"_Toc18282" </w:instrText>
      </w:r>
      <w:r>
        <w:rPr>
          <w:highlight w:val="none"/>
        </w:rPr>
        <w:fldChar w:fldCharType="separate"/>
      </w:r>
      <w:r>
        <w:rPr>
          <w:rFonts w:hint="eastAsia" w:ascii="宋体" w:hAnsi="宋体" w:cs="宋体"/>
          <w:b w:val="0"/>
          <w:sz w:val="24"/>
          <w:szCs w:val="24"/>
          <w:highlight w:val="none"/>
        </w:rPr>
        <w:t>三、参竞函</w:t>
      </w:r>
      <w:r>
        <w:rPr>
          <w:rFonts w:hint="eastAsia" w:ascii="宋体" w:hAnsi="宋体" w:cs="宋体"/>
          <w:b w:val="0"/>
          <w:sz w:val="24"/>
          <w:szCs w:val="24"/>
          <w:highlight w:val="none"/>
        </w:rPr>
        <w:tab/>
      </w:r>
      <w:r>
        <w:rPr>
          <w:rFonts w:ascii="宋体" w:hAnsi="宋体" w:cs="宋体"/>
          <w:b w:val="0"/>
          <w:sz w:val="24"/>
          <w:szCs w:val="24"/>
          <w:highlight w:val="none"/>
        </w:rPr>
        <w:t>29</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"_Toc31333" </w:instrText>
      </w:r>
      <w:r>
        <w:rPr>
          <w:highlight w:val="none"/>
        </w:rPr>
        <w:fldChar w:fldCharType="separate"/>
      </w:r>
      <w:r>
        <w:rPr>
          <w:rFonts w:hint="eastAsia" w:ascii="宋体" w:hAnsi="宋体" w:cs="宋体"/>
          <w:b w:val="0"/>
          <w:sz w:val="24"/>
          <w:szCs w:val="24"/>
          <w:highlight w:val="none"/>
        </w:rPr>
        <w:t>四、法定代表人授权委托书</w:t>
      </w:r>
      <w:r>
        <w:rPr>
          <w:rFonts w:hint="eastAsia" w:ascii="宋体" w:hAnsi="宋体" w:cs="宋体"/>
          <w:b w:val="0"/>
          <w:sz w:val="24"/>
          <w:szCs w:val="24"/>
          <w:highlight w:val="none"/>
        </w:rPr>
        <w:tab/>
      </w:r>
      <w:r>
        <w:rPr>
          <w:rFonts w:ascii="宋体" w:hAnsi="宋体" w:cs="宋体"/>
          <w:b w:val="0"/>
          <w:sz w:val="24"/>
          <w:szCs w:val="24"/>
          <w:highlight w:val="none"/>
        </w:rPr>
        <w:t>30</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"_Toc32558" </w:instrText>
      </w:r>
      <w:r>
        <w:rPr>
          <w:highlight w:val="none"/>
        </w:rPr>
        <w:fldChar w:fldCharType="separate"/>
      </w:r>
      <w:r>
        <w:rPr>
          <w:rFonts w:hint="eastAsia" w:ascii="宋体" w:hAnsi="宋体" w:cs="宋体"/>
          <w:b w:val="0"/>
          <w:sz w:val="24"/>
          <w:szCs w:val="24"/>
          <w:highlight w:val="none"/>
        </w:rPr>
        <w:t>五、参竞人承诺函</w:t>
      </w:r>
      <w:r>
        <w:rPr>
          <w:rFonts w:hint="eastAsia" w:ascii="宋体" w:hAnsi="宋体" w:cs="宋体"/>
          <w:b w:val="0"/>
          <w:sz w:val="24"/>
          <w:szCs w:val="24"/>
          <w:highlight w:val="none"/>
        </w:rPr>
        <w:tab/>
      </w:r>
      <w:r>
        <w:rPr>
          <w:rFonts w:hint="eastAsia" w:ascii="宋体" w:hAnsi="宋体" w:cs="宋体"/>
          <w:b w:val="0"/>
          <w:sz w:val="24"/>
          <w:szCs w:val="24"/>
          <w:highlight w:val="none"/>
        </w:rPr>
        <w:fldChar w:fldCharType="begin"/>
      </w:r>
      <w:r>
        <w:rPr>
          <w:rFonts w:hint="eastAsia" w:ascii="宋体" w:hAnsi="宋体" w:cs="宋体"/>
          <w:b w:val="0"/>
          <w:sz w:val="24"/>
          <w:szCs w:val="24"/>
          <w:highlight w:val="none"/>
        </w:rPr>
        <w:instrText xml:space="preserve"> PAGEREF _Toc32558 \h </w:instrText>
      </w:r>
      <w:r>
        <w:rPr>
          <w:rFonts w:hint="eastAsia" w:ascii="宋体" w:hAnsi="宋体" w:cs="宋体"/>
          <w:b w:val="0"/>
          <w:sz w:val="24"/>
          <w:szCs w:val="24"/>
          <w:highlight w:val="none"/>
        </w:rPr>
        <w:fldChar w:fldCharType="separate"/>
      </w:r>
      <w:r>
        <w:rPr>
          <w:rFonts w:ascii="宋体" w:hAnsi="宋体" w:cs="宋体"/>
          <w:b w:val="0"/>
          <w:sz w:val="24"/>
          <w:szCs w:val="24"/>
          <w:highlight w:val="none"/>
        </w:rPr>
        <w:t>31</w:t>
      </w:r>
      <w:r>
        <w:rPr>
          <w:rFonts w:hint="eastAsia" w:ascii="宋体" w:hAnsi="宋体" w:cs="宋体"/>
          <w:b w:val="0"/>
          <w:sz w:val="24"/>
          <w:szCs w:val="24"/>
          <w:highlight w:val="none"/>
        </w:rPr>
        <w:fldChar w:fldCharType="end"/>
      </w:r>
      <w:r>
        <w:rPr>
          <w:rFonts w:hint="eastAsia"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"_Toc20398" </w:instrText>
      </w:r>
      <w:r>
        <w:rPr>
          <w:highlight w:val="none"/>
        </w:rPr>
        <w:fldChar w:fldCharType="separate"/>
      </w:r>
      <w:r>
        <w:rPr>
          <w:rFonts w:hint="eastAsia" w:ascii="宋体" w:hAnsi="宋体" w:cs="宋体"/>
          <w:b w:val="0"/>
          <w:sz w:val="24"/>
          <w:szCs w:val="24"/>
          <w:highlight w:val="none"/>
        </w:rPr>
        <w:t>六、诚信声明</w:t>
      </w:r>
      <w:r>
        <w:rPr>
          <w:rFonts w:hint="eastAsia" w:ascii="宋体" w:hAnsi="宋体" w:cs="宋体"/>
          <w:b w:val="0"/>
          <w:sz w:val="24"/>
          <w:szCs w:val="24"/>
          <w:highlight w:val="none"/>
        </w:rPr>
        <w:tab/>
      </w:r>
      <w:r>
        <w:rPr>
          <w:rFonts w:ascii="宋体" w:hAnsi="宋体" w:cs="宋体"/>
          <w:b w:val="0"/>
          <w:sz w:val="24"/>
          <w:szCs w:val="24"/>
          <w:highlight w:val="none"/>
        </w:rPr>
        <w:t>32</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"_Toc31963" </w:instrText>
      </w:r>
      <w:r>
        <w:rPr>
          <w:highlight w:val="none"/>
        </w:rPr>
        <w:fldChar w:fldCharType="separate"/>
      </w:r>
      <w:r>
        <w:rPr>
          <w:rFonts w:hint="eastAsia" w:ascii="宋体" w:hAnsi="宋体" w:cs="宋体"/>
          <w:b w:val="0"/>
          <w:sz w:val="24"/>
          <w:szCs w:val="24"/>
          <w:highlight w:val="none"/>
        </w:rPr>
        <w:t>七、商务条款承诺</w:t>
      </w:r>
      <w:r>
        <w:rPr>
          <w:rFonts w:hint="eastAsia" w:ascii="宋体" w:hAnsi="宋体" w:cs="宋体"/>
          <w:b w:val="0"/>
          <w:sz w:val="24"/>
          <w:szCs w:val="24"/>
          <w:highlight w:val="none"/>
        </w:rPr>
        <w:tab/>
      </w:r>
      <w:r>
        <w:rPr>
          <w:rFonts w:ascii="宋体" w:hAnsi="宋体" w:cs="宋体"/>
          <w:b w:val="0"/>
          <w:sz w:val="24"/>
          <w:szCs w:val="24"/>
          <w:highlight w:val="none"/>
        </w:rPr>
        <w:t>33</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"_Toc20398" </w:instrText>
      </w:r>
      <w:r>
        <w:rPr>
          <w:highlight w:val="none"/>
        </w:rPr>
        <w:fldChar w:fldCharType="separate"/>
      </w:r>
      <w:r>
        <w:rPr>
          <w:rFonts w:hint="eastAsia" w:ascii="宋体" w:hAnsi="宋体" w:cs="宋体"/>
          <w:b w:val="0"/>
          <w:sz w:val="24"/>
          <w:szCs w:val="24"/>
          <w:highlight w:val="none"/>
        </w:rPr>
        <w:t>八、合理化建议</w:t>
      </w:r>
      <w:r>
        <w:rPr>
          <w:rFonts w:hint="eastAsia" w:ascii="宋体" w:hAnsi="宋体" w:cs="宋体"/>
          <w:b w:val="0"/>
          <w:sz w:val="24"/>
          <w:szCs w:val="24"/>
          <w:highlight w:val="none"/>
        </w:rPr>
        <w:tab/>
      </w:r>
      <w:r>
        <w:rPr>
          <w:rFonts w:ascii="宋体" w:hAnsi="宋体" w:cs="宋体"/>
          <w:b w:val="0"/>
          <w:sz w:val="24"/>
          <w:szCs w:val="24"/>
          <w:highlight w:val="none"/>
        </w:rPr>
        <w:t>34</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"_Toc28711" </w:instrText>
      </w:r>
      <w:r>
        <w:rPr>
          <w:highlight w:val="none"/>
        </w:rPr>
        <w:fldChar w:fldCharType="separate"/>
      </w:r>
      <w:r>
        <w:rPr>
          <w:rFonts w:hint="eastAsia" w:ascii="宋体" w:hAnsi="宋体" w:cs="宋体"/>
          <w:b w:val="0"/>
          <w:sz w:val="24"/>
          <w:szCs w:val="24"/>
          <w:highlight w:val="none"/>
        </w:rPr>
        <w:t>九、报价部分</w:t>
      </w:r>
      <w:r>
        <w:rPr>
          <w:rFonts w:hint="eastAsia" w:ascii="宋体" w:hAnsi="宋体" w:cs="宋体"/>
          <w:b w:val="0"/>
          <w:sz w:val="24"/>
          <w:szCs w:val="24"/>
          <w:highlight w:val="none"/>
        </w:rPr>
        <w:tab/>
      </w:r>
      <w:r>
        <w:rPr>
          <w:rFonts w:ascii="宋体" w:hAnsi="宋体" w:cs="宋体"/>
          <w:b w:val="0"/>
          <w:sz w:val="24"/>
          <w:szCs w:val="24"/>
          <w:highlight w:val="none"/>
        </w:rPr>
        <w:t>35</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"_Toc24567" </w:instrText>
      </w:r>
      <w:r>
        <w:rPr>
          <w:highlight w:val="none"/>
        </w:rPr>
        <w:fldChar w:fldCharType="separate"/>
      </w:r>
      <w:r>
        <w:rPr>
          <w:rFonts w:hint="eastAsia" w:ascii="宋体" w:hAnsi="宋体" w:cs="宋体"/>
          <w:b w:val="0"/>
          <w:sz w:val="24"/>
          <w:szCs w:val="24"/>
          <w:highlight w:val="none"/>
        </w:rPr>
        <w:t>十、服务部分响应文件</w:t>
      </w:r>
      <w:r>
        <w:rPr>
          <w:rFonts w:hint="eastAsia" w:ascii="宋体" w:hAnsi="宋体" w:cs="宋体"/>
          <w:b w:val="0"/>
          <w:sz w:val="24"/>
          <w:szCs w:val="24"/>
          <w:highlight w:val="none"/>
        </w:rPr>
        <w:tab/>
      </w:r>
      <w:r>
        <w:rPr>
          <w:rFonts w:ascii="宋体" w:hAnsi="宋体" w:cs="宋体"/>
          <w:b w:val="0"/>
          <w:sz w:val="24"/>
          <w:szCs w:val="24"/>
          <w:highlight w:val="none"/>
        </w:rPr>
        <w:t>36-37</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"_Toc2189" </w:instrText>
      </w:r>
      <w:r>
        <w:rPr>
          <w:highlight w:val="none"/>
        </w:rPr>
        <w:fldChar w:fldCharType="separate"/>
      </w:r>
      <w:r>
        <w:rPr>
          <w:rFonts w:hint="eastAsia" w:ascii="宋体" w:hAnsi="宋体" w:cs="宋体"/>
          <w:b w:val="0"/>
          <w:sz w:val="24"/>
          <w:szCs w:val="24"/>
          <w:highlight w:val="none"/>
        </w:rPr>
        <w:t>十一、商务部分响应文件</w:t>
      </w:r>
      <w:r>
        <w:rPr>
          <w:rFonts w:hint="eastAsia" w:ascii="宋体" w:hAnsi="宋体" w:cs="宋体"/>
          <w:b w:val="0"/>
          <w:sz w:val="24"/>
          <w:szCs w:val="24"/>
          <w:highlight w:val="none"/>
        </w:rPr>
        <w:tab/>
      </w:r>
      <w:r>
        <w:rPr>
          <w:rFonts w:ascii="宋体" w:hAnsi="宋体" w:cs="宋体"/>
          <w:b w:val="0"/>
          <w:sz w:val="24"/>
          <w:szCs w:val="24"/>
          <w:highlight w:val="none"/>
        </w:rPr>
        <w:t>38</w:t>
      </w:r>
      <w:r>
        <w:rPr>
          <w:rFonts w:ascii="宋体" w:hAnsi="宋体" w:cs="宋体"/>
          <w:b w:val="0"/>
          <w:sz w:val="24"/>
          <w:szCs w:val="24"/>
          <w:highlight w:val="none"/>
        </w:rPr>
        <w:fldChar w:fldCharType="end"/>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"_Toc20398" </w:instrText>
      </w:r>
      <w:r>
        <w:rPr>
          <w:highlight w:val="none"/>
        </w:rPr>
        <w:fldChar w:fldCharType="separate"/>
      </w:r>
      <w:r>
        <w:rPr>
          <w:rFonts w:hint="eastAsia" w:ascii="宋体" w:hAnsi="宋体" w:cs="宋体"/>
          <w:b w:val="0"/>
          <w:sz w:val="24"/>
          <w:szCs w:val="24"/>
          <w:highlight w:val="none"/>
        </w:rPr>
        <w:t>十二、其他应提供的资料</w:t>
      </w:r>
      <w:r>
        <w:rPr>
          <w:rFonts w:hint="eastAsia" w:ascii="宋体" w:hAnsi="宋体" w:cs="宋体"/>
          <w:b w:val="0"/>
          <w:sz w:val="24"/>
          <w:szCs w:val="24"/>
          <w:highlight w:val="none"/>
        </w:rPr>
        <w:tab/>
      </w:r>
      <w:r>
        <w:rPr>
          <w:rFonts w:ascii="宋体" w:hAnsi="宋体" w:cs="宋体"/>
          <w:b w:val="0"/>
          <w:sz w:val="24"/>
          <w:szCs w:val="24"/>
          <w:highlight w:val="none"/>
        </w:rPr>
        <w:t>38</w:t>
      </w:r>
      <w:r>
        <w:rPr>
          <w:rFonts w:ascii="宋体" w:hAnsi="宋体" w:cs="宋体"/>
          <w:b w:val="0"/>
          <w:sz w:val="24"/>
          <w:szCs w:val="24"/>
          <w:highlight w:val="none"/>
        </w:rPr>
        <w:fldChar w:fldCharType="end"/>
      </w:r>
    </w:p>
    <w:p>
      <w:pPr>
        <w:spacing w:line="276" w:lineRule="auto"/>
        <w:rPr>
          <w:rFonts w:ascii="宋体" w:hAnsi="宋体" w:cs="宋体"/>
          <w:bCs/>
          <w:sz w:val="24"/>
          <w:szCs w:val="24"/>
          <w:highlight w:val="none"/>
        </w:rPr>
      </w:pPr>
    </w:p>
    <w:p>
      <w:pPr>
        <w:pStyle w:val="24"/>
        <w:tabs>
          <w:tab w:val="right" w:leader="dot" w:pos="8313"/>
        </w:tabs>
        <w:spacing w:before="118" w:line="276" w:lineRule="auto"/>
        <w:ind w:firstLine="2756" w:firstLineChars="1300"/>
        <w:rPr>
          <w:rFonts w:ascii="宋体" w:hAnsi="宋体" w:cs="宋体"/>
          <w:bCs w:val="0"/>
          <w:i w:val="0"/>
          <w:iCs w:val="0"/>
          <w:szCs w:val="24"/>
          <w:highlight w:val="none"/>
        </w:rPr>
      </w:pPr>
      <w:r>
        <w:rPr>
          <w:highlight w:val="none"/>
        </w:rPr>
        <w:fldChar w:fldCharType="begin"/>
      </w:r>
      <w:r>
        <w:rPr>
          <w:highlight w:val="none"/>
        </w:rPr>
        <w:instrText xml:space="preserve"> HYPERLINK \l "_Toc5619" </w:instrText>
      </w:r>
      <w:r>
        <w:rPr>
          <w:highlight w:val="none"/>
        </w:rPr>
        <w:fldChar w:fldCharType="separate"/>
      </w:r>
      <w:r>
        <w:rPr>
          <w:rFonts w:hint="eastAsia" w:ascii="宋体" w:hAnsi="宋体" w:cs="宋体"/>
          <w:bCs w:val="0"/>
          <w:i w:val="0"/>
          <w:iCs w:val="0"/>
          <w:szCs w:val="24"/>
          <w:highlight w:val="none"/>
        </w:rPr>
        <w:t>第六篇 合同范本及附件</w:t>
      </w:r>
      <w:r>
        <w:rPr>
          <w:rFonts w:hint="eastAsia" w:ascii="宋体" w:hAnsi="宋体" w:cs="宋体"/>
          <w:bCs w:val="0"/>
          <w:i w:val="0"/>
          <w:iCs w:val="0"/>
          <w:szCs w:val="24"/>
          <w:highlight w:val="none"/>
        </w:rPr>
        <w:fldChar w:fldCharType="end"/>
      </w:r>
    </w:p>
    <w:p>
      <w:pPr>
        <w:tabs>
          <w:tab w:val="left" w:pos="8429"/>
        </w:tabs>
        <w:spacing w:line="276" w:lineRule="auto"/>
        <w:rPr>
          <w:rFonts w:ascii="宋体" w:hAnsi="宋体" w:cs="宋体"/>
          <w:bCs/>
          <w:sz w:val="24"/>
          <w:szCs w:val="24"/>
          <w:highlight w:val="none"/>
        </w:rPr>
      </w:pPr>
      <w:r>
        <w:rPr>
          <w:rFonts w:hint="eastAsia" w:ascii="宋体" w:hAnsi="宋体" w:cs="宋体"/>
          <w:bCs/>
          <w:sz w:val="24"/>
          <w:szCs w:val="24"/>
          <w:highlight w:val="none"/>
        </w:rPr>
        <w:tab/>
      </w:r>
    </w:p>
    <w:p>
      <w:pPr>
        <w:pStyle w:val="29"/>
        <w:tabs>
          <w:tab w:val="right" w:leader="dot" w:pos="8313"/>
        </w:tabs>
        <w:spacing w:before="118" w:line="276" w:lineRule="auto"/>
        <w:rPr>
          <w:rFonts w:ascii="宋体" w:hAnsi="宋体" w:cs="宋体"/>
          <w:b w:val="0"/>
          <w:sz w:val="24"/>
          <w:szCs w:val="24"/>
          <w:highlight w:val="none"/>
        </w:rPr>
      </w:pPr>
      <w:r>
        <w:rPr>
          <w:highlight w:val="none"/>
        </w:rPr>
        <w:fldChar w:fldCharType="begin"/>
      </w:r>
      <w:r>
        <w:rPr>
          <w:highlight w:val="none"/>
        </w:rPr>
        <w:instrText xml:space="preserve"> HYPERLINK \l "_Toc10852" </w:instrText>
      </w:r>
      <w:r>
        <w:rPr>
          <w:highlight w:val="none"/>
        </w:rPr>
        <w:fldChar w:fldCharType="separate"/>
      </w:r>
      <w:r>
        <w:rPr>
          <w:rFonts w:hint="eastAsia" w:ascii="宋体" w:hAnsi="宋体" w:cs="宋体"/>
          <w:b w:val="0"/>
          <w:sz w:val="24"/>
          <w:szCs w:val="24"/>
          <w:highlight w:val="none"/>
        </w:rPr>
        <w:t>四川外国语大学学生食堂联合经营管理合同（范本）</w:t>
      </w:r>
      <w:r>
        <w:rPr>
          <w:rFonts w:hint="eastAsia" w:ascii="宋体" w:hAnsi="宋体" w:cs="宋体"/>
          <w:b w:val="0"/>
          <w:sz w:val="24"/>
          <w:szCs w:val="24"/>
          <w:highlight w:val="none"/>
        </w:rPr>
        <w:tab/>
      </w:r>
      <w:r>
        <w:rPr>
          <w:rFonts w:ascii="宋体" w:hAnsi="宋体" w:cs="宋体"/>
          <w:b w:val="0"/>
          <w:sz w:val="24"/>
          <w:szCs w:val="24"/>
          <w:highlight w:val="none"/>
        </w:rPr>
        <w:t>39-46</w:t>
      </w:r>
      <w:r>
        <w:rPr>
          <w:rFonts w:ascii="宋体" w:hAnsi="宋体" w:cs="宋体"/>
          <w:b w:val="0"/>
          <w:sz w:val="24"/>
          <w:szCs w:val="24"/>
          <w:highlight w:val="none"/>
        </w:rPr>
        <w:fldChar w:fldCharType="end"/>
      </w:r>
    </w:p>
    <w:p>
      <w:pPr>
        <w:spacing w:line="276" w:lineRule="auto"/>
        <w:ind w:firstLine="212" w:firstLineChars="100"/>
        <w:rPr>
          <w:rFonts w:ascii="宋体" w:hAnsi="宋体" w:eastAsia="宋体" w:cs="宋体"/>
          <w:bCs/>
          <w:kern w:val="0"/>
          <w:sz w:val="24"/>
          <w:szCs w:val="24"/>
          <w:highlight w:val="none"/>
        </w:rPr>
      </w:pPr>
      <w:r>
        <w:rPr>
          <w:rFonts w:hint="eastAsia" w:ascii="宋体" w:hAnsi="宋体" w:cs="宋体"/>
          <w:bCs/>
          <w:sz w:val="24"/>
          <w:szCs w:val="24"/>
          <w:highlight w:val="none"/>
        </w:rPr>
        <w:fldChar w:fldCharType="end"/>
      </w:r>
      <w:r>
        <w:rPr>
          <w:rFonts w:hint="eastAsia" w:ascii="宋体" w:hAnsi="宋体" w:eastAsia="宋体" w:cs="宋体"/>
          <w:bCs/>
          <w:kern w:val="0"/>
          <w:sz w:val="24"/>
          <w:szCs w:val="24"/>
          <w:highlight w:val="none"/>
        </w:rPr>
        <w:t>附件</w:t>
      </w:r>
      <w:r>
        <w:rPr>
          <w:rFonts w:ascii="宋体" w:hAnsi="宋体" w:eastAsia="宋体" w:cs="宋体"/>
          <w:bCs/>
          <w:kern w:val="0"/>
          <w:sz w:val="24"/>
          <w:szCs w:val="24"/>
          <w:highlight w:val="none"/>
        </w:rPr>
        <w:t>1：四川外国语大学对社会企业参与学生食堂联合经营日常考核实施细则......47-52</w:t>
      </w:r>
    </w:p>
    <w:p>
      <w:pPr>
        <w:spacing w:line="276" w:lineRule="auto"/>
        <w:ind w:firstLine="212" w:firstLineChars="10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附件</w:t>
      </w:r>
      <w:r>
        <w:rPr>
          <w:rFonts w:ascii="宋体" w:hAnsi="宋体" w:eastAsia="宋体" w:cs="宋体"/>
          <w:bCs/>
          <w:kern w:val="0"/>
          <w:sz w:val="24"/>
          <w:szCs w:val="24"/>
          <w:highlight w:val="none"/>
        </w:rPr>
        <w:t>2：四川外国语大学对社会企业参与学生食堂联合经营年度考核办法..........53-54</w:t>
      </w:r>
    </w:p>
    <w:p>
      <w:pPr>
        <w:spacing w:line="276" w:lineRule="auto"/>
        <w:ind w:firstLine="212" w:firstLineChars="10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附件</w:t>
      </w:r>
      <w:r>
        <w:rPr>
          <w:rFonts w:ascii="宋体" w:hAnsi="宋体" w:eastAsia="宋体" w:cs="宋体"/>
          <w:bCs/>
          <w:kern w:val="0"/>
          <w:sz w:val="24"/>
          <w:szCs w:val="24"/>
          <w:highlight w:val="none"/>
        </w:rPr>
        <w:t>3：四川外国语大学食堂餐饮服务满意度调查问卷..........................55</w:t>
      </w:r>
    </w:p>
    <w:p>
      <w:pPr>
        <w:spacing w:line="276" w:lineRule="auto"/>
        <w:ind w:firstLine="212" w:firstLineChars="10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附件</w:t>
      </w:r>
      <w:r>
        <w:rPr>
          <w:rFonts w:ascii="宋体" w:hAnsi="宋体" w:eastAsia="宋体" w:cs="宋体"/>
          <w:bCs/>
          <w:kern w:val="0"/>
          <w:sz w:val="24"/>
          <w:szCs w:val="24"/>
          <w:highlight w:val="none"/>
        </w:rPr>
        <w:t>4：四川外国语大学东校区学生食堂联合经营项目报名表</w:t>
      </w:r>
      <w:r>
        <w:rPr>
          <w:rFonts w:hint="eastAsia" w:ascii="宋体" w:hAnsi="宋体" w:eastAsia="宋体" w:cs="宋体"/>
          <w:bCs/>
          <w:kern w:val="0"/>
          <w:sz w:val="24"/>
          <w:szCs w:val="24"/>
          <w:highlight w:val="none"/>
        </w:rPr>
        <w:t>.</w:t>
      </w:r>
      <w:r>
        <w:rPr>
          <w:rFonts w:ascii="宋体" w:hAnsi="宋体" w:eastAsia="宋体" w:cs="宋体"/>
          <w:bCs/>
          <w:kern w:val="0"/>
          <w:sz w:val="24"/>
          <w:szCs w:val="24"/>
          <w:highlight w:val="none"/>
        </w:rPr>
        <w:t>.56</w:t>
      </w:r>
    </w:p>
    <w:p>
      <w:pPr>
        <w:spacing w:line="276" w:lineRule="auto"/>
        <w:ind w:firstLine="212" w:firstLineChars="100"/>
        <w:rPr>
          <w:rFonts w:ascii="宋体" w:hAnsi="宋体" w:cs="宋体"/>
          <w:bCs/>
          <w:sz w:val="24"/>
          <w:szCs w:val="24"/>
          <w:highlight w:val="none"/>
        </w:rPr>
      </w:pPr>
      <w:r>
        <w:rPr>
          <w:rFonts w:hint="eastAsia" w:ascii="宋体" w:hAnsi="宋体" w:eastAsia="宋体" w:cs="宋体"/>
          <w:bCs/>
          <w:kern w:val="0"/>
          <w:sz w:val="24"/>
          <w:szCs w:val="24"/>
          <w:highlight w:val="none"/>
        </w:rPr>
        <w:t>附件</w:t>
      </w:r>
      <w:r>
        <w:rPr>
          <w:rFonts w:ascii="宋体" w:hAnsi="宋体" w:eastAsia="宋体" w:cs="宋体"/>
          <w:bCs/>
          <w:kern w:val="0"/>
          <w:sz w:val="24"/>
          <w:szCs w:val="24"/>
          <w:highlight w:val="none"/>
        </w:rPr>
        <w:t>5：</w:t>
      </w:r>
      <w:r>
        <w:rPr>
          <w:rFonts w:hint="eastAsia" w:ascii="宋体" w:hAnsi="宋体" w:eastAsia="宋体" w:cs="宋体"/>
          <w:sz w:val="24"/>
          <w:szCs w:val="24"/>
          <w:highlight w:val="none"/>
        </w:rPr>
        <w:t>食堂规划分区示意图（东校区学生食堂）</w:t>
      </w:r>
    </w:p>
    <w:p>
      <w:pPr>
        <w:spacing w:line="276" w:lineRule="auto"/>
        <w:rPr>
          <w:rFonts w:ascii="宋体" w:hAnsi="宋体" w:cs="宋体"/>
          <w:bCs/>
          <w:sz w:val="24"/>
          <w:szCs w:val="24"/>
          <w:highlight w:val="none"/>
        </w:rPr>
      </w:pPr>
    </w:p>
    <w:p>
      <w:pPr>
        <w:spacing w:line="276" w:lineRule="auto"/>
        <w:rPr>
          <w:rFonts w:ascii="宋体" w:hAnsi="宋体" w:cs="宋体"/>
          <w:bCs/>
          <w:sz w:val="24"/>
          <w:szCs w:val="24"/>
          <w:highlight w:val="none"/>
        </w:rPr>
      </w:pPr>
    </w:p>
    <w:p>
      <w:pPr>
        <w:spacing w:line="276" w:lineRule="auto"/>
        <w:rPr>
          <w:rFonts w:ascii="宋体" w:hAnsi="宋体" w:cs="宋体"/>
          <w:bCs/>
          <w:sz w:val="24"/>
          <w:szCs w:val="24"/>
          <w:highlight w:val="none"/>
        </w:rPr>
      </w:pPr>
    </w:p>
    <w:p>
      <w:pPr>
        <w:spacing w:line="276" w:lineRule="auto"/>
        <w:rPr>
          <w:rFonts w:ascii="宋体" w:hAnsi="宋体" w:cs="宋体"/>
          <w:bCs/>
          <w:sz w:val="24"/>
          <w:szCs w:val="24"/>
          <w:highlight w:val="none"/>
        </w:rPr>
      </w:pPr>
    </w:p>
    <w:p>
      <w:pPr>
        <w:spacing w:line="276" w:lineRule="auto"/>
        <w:rPr>
          <w:rFonts w:ascii="宋体" w:hAnsi="宋体" w:cs="宋体"/>
          <w:bCs/>
          <w:sz w:val="24"/>
          <w:szCs w:val="24"/>
          <w:highlight w:val="none"/>
        </w:rPr>
      </w:pPr>
    </w:p>
    <w:p>
      <w:pPr>
        <w:tabs>
          <w:tab w:val="left" w:pos="7341"/>
        </w:tabs>
        <w:spacing w:line="276" w:lineRule="auto"/>
        <w:jc w:val="left"/>
        <w:rPr>
          <w:rFonts w:ascii="宋体" w:hAnsi="宋体" w:cs="宋体"/>
          <w:bCs/>
          <w:sz w:val="24"/>
          <w:szCs w:val="24"/>
          <w:highlight w:val="none"/>
        </w:rPr>
        <w:sectPr>
          <w:footerReference r:id="rId3" w:type="default"/>
          <w:pgSz w:w="11907" w:h="16840"/>
          <w:pgMar w:top="1134" w:right="1134" w:bottom="1134" w:left="1134" w:header="964" w:footer="992" w:gutter="0"/>
          <w:pgNumType w:start="0"/>
          <w:cols w:space="720" w:num="1"/>
          <w:titlePg/>
          <w:docGrid w:type="linesAndChars" w:linePitch="312" w:charSpace="-5735"/>
        </w:sectPr>
      </w:pPr>
      <w:r>
        <w:rPr>
          <w:rFonts w:hint="eastAsia" w:ascii="宋体" w:hAnsi="宋体" w:cs="宋体"/>
          <w:bCs/>
          <w:sz w:val="24"/>
          <w:szCs w:val="24"/>
          <w:highlight w:val="none"/>
        </w:rPr>
        <w:tab/>
      </w:r>
    </w:p>
    <w:p>
      <w:pPr>
        <w:pStyle w:val="2"/>
        <w:spacing w:before="312" w:after="156" w:line="276" w:lineRule="auto"/>
        <w:jc w:val="both"/>
        <w:rPr>
          <w:rFonts w:ascii="宋体" w:hAnsi="宋体" w:eastAsia="宋体" w:cs="宋体"/>
          <w:b/>
          <w:sz w:val="24"/>
          <w:szCs w:val="24"/>
          <w:highlight w:val="none"/>
        </w:rPr>
      </w:pPr>
      <w:bookmarkStart w:id="0" w:name="_Toc422380968"/>
      <w:r>
        <w:rPr>
          <w:rFonts w:hint="eastAsia" w:ascii="宋体" w:hAnsi="宋体" w:eastAsia="宋体" w:cs="宋体"/>
          <w:b/>
          <w:sz w:val="24"/>
          <w:szCs w:val="24"/>
          <w:highlight w:val="none"/>
        </w:rPr>
        <w:t xml:space="preserve">                                </w:t>
      </w:r>
      <w:bookmarkStart w:id="1" w:name="_Toc21181"/>
      <w:bookmarkStart w:id="2" w:name="_Toc13657"/>
      <w:r>
        <w:rPr>
          <w:rFonts w:hint="eastAsia" w:ascii="宋体" w:hAnsi="宋体" w:eastAsia="宋体" w:cs="宋体"/>
          <w:b/>
          <w:sz w:val="24"/>
          <w:szCs w:val="24"/>
          <w:highlight w:val="none"/>
        </w:rPr>
        <w:t xml:space="preserve">第一篇 </w:t>
      </w:r>
      <w:bookmarkEnd w:id="0"/>
      <w:bookmarkEnd w:id="1"/>
      <w:r>
        <w:rPr>
          <w:rFonts w:hint="eastAsia" w:ascii="宋体" w:hAnsi="宋体" w:eastAsia="宋体" w:cs="宋体"/>
          <w:b/>
          <w:sz w:val="24"/>
          <w:szCs w:val="24"/>
          <w:highlight w:val="none"/>
        </w:rPr>
        <w:t>项目基本情况</w:t>
      </w:r>
      <w:bookmarkEnd w:id="2"/>
    </w:p>
    <w:p>
      <w:pPr>
        <w:spacing w:line="276" w:lineRule="auto"/>
        <w:ind w:firstLine="480" w:firstLineChars="200"/>
        <w:rPr>
          <w:rFonts w:ascii="宋体" w:hAnsi="宋体" w:eastAsia="宋体" w:cs="宋体"/>
          <w:color w:val="000000"/>
          <w:sz w:val="24"/>
          <w:szCs w:val="24"/>
          <w:highlight w:val="none"/>
        </w:rPr>
      </w:pPr>
      <w:bookmarkStart w:id="3" w:name="_Toc358372327"/>
      <w:bookmarkStart w:id="4" w:name="_Toc358372722"/>
      <w:bookmarkStart w:id="5" w:name="_Toc358372435"/>
      <w:r>
        <w:rPr>
          <w:rFonts w:hint="eastAsia" w:ascii="宋体" w:hAnsi="宋体" w:eastAsia="宋体" w:cs="宋体"/>
          <w:sz w:val="24"/>
          <w:szCs w:val="24"/>
          <w:highlight w:val="none"/>
        </w:rPr>
        <w:t>为满足学校师生员工多样化、个性化的后勤餐饮服务需求，丰富校园特色风味餐饮，同时通过食堂智能化管理和运营，实现资源的高效利用和环境保护。我校现拟对东校区学生食堂（以下简称东区学生食堂）以联合经营项目的方式</w:t>
      </w:r>
      <w:r>
        <w:rPr>
          <w:rFonts w:hint="eastAsia" w:ascii="宋体" w:hAnsi="宋体" w:eastAsia="宋体" w:cs="宋体"/>
          <w:color w:val="000000"/>
          <w:sz w:val="24"/>
          <w:szCs w:val="24"/>
          <w:highlight w:val="none"/>
        </w:rPr>
        <w:t>引进联合经营</w:t>
      </w:r>
      <w:r>
        <w:rPr>
          <w:rFonts w:ascii="宋体" w:hAnsi="宋体" w:eastAsia="宋体" w:cs="宋体"/>
          <w:color w:val="000000"/>
          <w:sz w:val="24"/>
          <w:szCs w:val="24"/>
          <w:highlight w:val="none"/>
        </w:rPr>
        <w:t>方</w:t>
      </w:r>
      <w:r>
        <w:rPr>
          <w:rFonts w:hint="eastAsia" w:ascii="宋体" w:hAnsi="宋体" w:eastAsia="宋体" w:cs="宋体"/>
          <w:color w:val="000000"/>
          <w:sz w:val="24"/>
          <w:szCs w:val="24"/>
          <w:highlight w:val="none"/>
        </w:rPr>
        <w:t>，欢迎引入经济实力强、社会信誉好、经营管理服务好的餐饮管理类企业建设智慧环保食堂，参与学校办学后勤供餐保障服务。</w:t>
      </w:r>
      <w:bookmarkStart w:id="6" w:name="_Toc422380969"/>
      <w:bookmarkStart w:id="7" w:name="_Toc27863"/>
    </w:p>
    <w:p>
      <w:pPr>
        <w:pStyle w:val="237"/>
        <w:numPr>
          <w:ilvl w:val="0"/>
          <w:numId w:val="16"/>
        </w:numPr>
        <w:spacing w:line="276" w:lineRule="auto"/>
        <w:ind w:firstLineChars="0"/>
        <w:rPr>
          <w:rFonts w:ascii="宋体" w:hAnsi="宋体" w:cs="宋体"/>
          <w:b/>
          <w:bCs/>
          <w:color w:val="000000"/>
          <w:sz w:val="24"/>
          <w:szCs w:val="24"/>
          <w:highlight w:val="none"/>
        </w:rPr>
      </w:pPr>
      <w:r>
        <w:rPr>
          <w:rFonts w:hint="eastAsia" w:ascii="宋体" w:hAnsi="宋体" w:cs="宋体"/>
          <w:b/>
          <w:bCs/>
          <w:color w:val="000000"/>
          <w:sz w:val="24"/>
          <w:szCs w:val="24"/>
          <w:highlight w:val="none"/>
        </w:rPr>
        <w:t>项目内容</w:t>
      </w:r>
      <w:bookmarkEnd w:id="6"/>
      <w:bookmarkEnd w:id="7"/>
    </w:p>
    <w:bookmarkEnd w:id="3"/>
    <w:bookmarkEnd w:id="4"/>
    <w:bookmarkEnd w:id="5"/>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3977"/>
        <w:gridCol w:w="2079"/>
        <w:gridCol w:w="1994"/>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7" w:type="dxa"/>
            <w:vAlign w:val="center"/>
          </w:tcPr>
          <w:p>
            <w:pPr>
              <w:spacing w:line="276" w:lineRule="auto"/>
              <w:jc w:val="center"/>
              <w:rPr>
                <w:rFonts w:ascii="宋体" w:hAnsi="宋体" w:cs="宋体"/>
                <w:sz w:val="24"/>
                <w:szCs w:val="24"/>
                <w:highlight w:val="none"/>
              </w:rPr>
            </w:pPr>
            <w:bookmarkStart w:id="8" w:name="_Toc422380970"/>
            <w:r>
              <w:rPr>
                <w:rFonts w:hint="eastAsia" w:ascii="宋体" w:hAnsi="宋体" w:cs="宋体"/>
                <w:sz w:val="24"/>
                <w:szCs w:val="24"/>
                <w:highlight w:val="none"/>
              </w:rPr>
              <w:t>包号</w:t>
            </w:r>
          </w:p>
        </w:tc>
        <w:tc>
          <w:tcPr>
            <w:tcW w:w="3977" w:type="dxa"/>
            <w:vAlign w:val="center"/>
          </w:tcPr>
          <w:p>
            <w:pPr>
              <w:spacing w:line="276" w:lineRule="auto"/>
              <w:jc w:val="center"/>
              <w:rPr>
                <w:rFonts w:ascii="宋体" w:hAnsi="宋体" w:cs="宋体"/>
                <w:sz w:val="24"/>
                <w:szCs w:val="24"/>
                <w:highlight w:val="none"/>
              </w:rPr>
            </w:pPr>
            <w:r>
              <w:rPr>
                <w:rFonts w:hint="eastAsia" w:ascii="宋体" w:hAnsi="宋体" w:cs="宋体"/>
                <w:sz w:val="24"/>
                <w:szCs w:val="24"/>
                <w:highlight w:val="none"/>
              </w:rPr>
              <w:t>项目名称</w:t>
            </w:r>
          </w:p>
        </w:tc>
        <w:tc>
          <w:tcPr>
            <w:tcW w:w="2079" w:type="dxa"/>
            <w:vAlign w:val="center"/>
          </w:tcPr>
          <w:p>
            <w:pPr>
              <w:spacing w:line="276" w:lineRule="auto"/>
              <w:jc w:val="center"/>
              <w:rPr>
                <w:rFonts w:ascii="宋体" w:hAnsi="宋体" w:cs="宋体"/>
                <w:sz w:val="24"/>
                <w:szCs w:val="24"/>
                <w:highlight w:val="none"/>
              </w:rPr>
            </w:pPr>
            <w:r>
              <w:rPr>
                <w:rFonts w:hint="eastAsia" w:ascii="宋体" w:hAnsi="宋体" w:cs="宋体"/>
                <w:sz w:val="24"/>
                <w:szCs w:val="24"/>
                <w:highlight w:val="none"/>
              </w:rPr>
              <w:t>建筑面积</w:t>
            </w:r>
          </w:p>
        </w:tc>
        <w:tc>
          <w:tcPr>
            <w:tcW w:w="1994" w:type="dxa"/>
            <w:vAlign w:val="center"/>
          </w:tcPr>
          <w:p>
            <w:pPr>
              <w:spacing w:line="276" w:lineRule="auto"/>
              <w:jc w:val="center"/>
              <w:rPr>
                <w:rFonts w:ascii="宋体" w:hAnsi="宋体" w:cs="宋体"/>
                <w:sz w:val="24"/>
                <w:szCs w:val="24"/>
                <w:highlight w:val="none"/>
              </w:rPr>
            </w:pPr>
            <w:r>
              <w:rPr>
                <w:rFonts w:hint="eastAsia" w:ascii="宋体" w:hAnsi="宋体" w:cs="宋体"/>
                <w:sz w:val="24"/>
                <w:szCs w:val="24"/>
                <w:highlight w:val="none"/>
              </w:rPr>
              <w:t>参竞保证金</w:t>
            </w:r>
          </w:p>
        </w:tc>
        <w:tc>
          <w:tcPr>
            <w:tcW w:w="717" w:type="dxa"/>
            <w:vAlign w:val="center"/>
          </w:tcPr>
          <w:p>
            <w:pPr>
              <w:spacing w:line="276" w:lineRule="auto"/>
              <w:jc w:val="center"/>
              <w:rPr>
                <w:rFonts w:ascii="宋体" w:hAnsi="宋体" w:cs="宋体"/>
                <w:sz w:val="24"/>
                <w:szCs w:val="24"/>
                <w:highlight w:val="none"/>
              </w:rPr>
            </w:pPr>
            <w:r>
              <w:rPr>
                <w:rFonts w:hint="eastAsia" w:ascii="宋体" w:hAnsi="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87" w:type="dxa"/>
            <w:vAlign w:val="center"/>
          </w:tcPr>
          <w:p>
            <w:pPr>
              <w:spacing w:line="276" w:lineRule="auto"/>
              <w:jc w:val="center"/>
              <w:rPr>
                <w:rFonts w:ascii="宋体" w:hAnsi="宋体" w:cs="宋体"/>
                <w:sz w:val="24"/>
                <w:szCs w:val="24"/>
                <w:highlight w:val="none"/>
              </w:rPr>
            </w:pPr>
            <w:r>
              <w:rPr>
                <w:rFonts w:hint="eastAsia" w:ascii="宋体" w:hAnsi="宋体" w:cs="宋体"/>
                <w:sz w:val="24"/>
                <w:szCs w:val="24"/>
                <w:highlight w:val="none"/>
              </w:rPr>
              <w:t>包1</w:t>
            </w:r>
          </w:p>
        </w:tc>
        <w:tc>
          <w:tcPr>
            <w:tcW w:w="3977" w:type="dxa"/>
            <w:vAlign w:val="center"/>
          </w:tcPr>
          <w:p>
            <w:pPr>
              <w:spacing w:line="276" w:lineRule="auto"/>
              <w:jc w:val="left"/>
              <w:rPr>
                <w:rFonts w:ascii="宋体" w:hAnsi="宋体" w:cs="宋体"/>
                <w:sz w:val="24"/>
                <w:szCs w:val="24"/>
                <w:highlight w:val="none"/>
              </w:rPr>
            </w:pPr>
            <w:r>
              <w:rPr>
                <w:rFonts w:hint="eastAsia" w:ascii="宋体" w:hAnsi="宋体" w:eastAsia="宋体" w:cs="宋体"/>
                <w:sz w:val="24"/>
                <w:szCs w:val="24"/>
                <w:highlight w:val="none"/>
              </w:rPr>
              <w:t>东区学生食堂联合经营项目</w:t>
            </w:r>
          </w:p>
        </w:tc>
        <w:tc>
          <w:tcPr>
            <w:tcW w:w="2079" w:type="dxa"/>
            <w:vAlign w:val="center"/>
          </w:tcPr>
          <w:p>
            <w:pPr>
              <w:spacing w:line="276" w:lineRule="auto"/>
              <w:jc w:val="center"/>
              <w:rPr>
                <w:rFonts w:ascii="宋体" w:hAnsi="宋体" w:cs="宋体"/>
                <w:sz w:val="24"/>
                <w:szCs w:val="24"/>
                <w:highlight w:val="none"/>
              </w:rPr>
            </w:pPr>
            <w:r>
              <w:rPr>
                <w:rFonts w:hint="eastAsia" w:ascii="宋体" w:hAnsi="宋体" w:cs="宋体"/>
                <w:sz w:val="24"/>
                <w:szCs w:val="24"/>
                <w:highlight w:val="none"/>
              </w:rPr>
              <w:t>约2550㎡</w:t>
            </w:r>
          </w:p>
        </w:tc>
        <w:tc>
          <w:tcPr>
            <w:tcW w:w="1994" w:type="dxa"/>
            <w:vAlign w:val="center"/>
          </w:tcPr>
          <w:p>
            <w:pPr>
              <w:spacing w:line="276" w:lineRule="auto"/>
              <w:rPr>
                <w:rFonts w:ascii="宋体" w:hAnsi="宋体" w:cs="宋体"/>
                <w:sz w:val="24"/>
                <w:szCs w:val="24"/>
                <w:highlight w:val="none"/>
              </w:rPr>
            </w:pPr>
            <w:r>
              <w:rPr>
                <w:rFonts w:ascii="宋体" w:hAnsi="宋体" w:cs="宋体"/>
                <w:sz w:val="24"/>
                <w:szCs w:val="24"/>
                <w:highlight w:val="none"/>
              </w:rPr>
              <w:t>50</w:t>
            </w:r>
            <w:r>
              <w:rPr>
                <w:rFonts w:hint="eastAsia" w:ascii="宋体" w:hAnsi="宋体" w:cs="宋体"/>
                <w:sz w:val="24"/>
                <w:szCs w:val="24"/>
                <w:highlight w:val="none"/>
              </w:rPr>
              <w:t>万元/人/包</w:t>
            </w:r>
          </w:p>
        </w:tc>
        <w:tc>
          <w:tcPr>
            <w:tcW w:w="717" w:type="dxa"/>
            <w:vAlign w:val="center"/>
          </w:tcPr>
          <w:p>
            <w:pPr>
              <w:spacing w:line="276" w:lineRule="auto"/>
              <w:jc w:val="center"/>
              <w:rPr>
                <w:rFonts w:ascii="宋体" w:hAnsi="宋体" w:cs="宋体"/>
                <w:sz w:val="24"/>
                <w:szCs w:val="24"/>
                <w:highlight w:val="none"/>
              </w:rPr>
            </w:pPr>
            <w:r>
              <w:rPr>
                <w:rFonts w:hint="eastAsia" w:ascii="宋体" w:hAnsi="宋体" w:cs="宋体"/>
                <w:sz w:val="24"/>
                <w:szCs w:val="24"/>
                <w:highlight w:val="none"/>
              </w:rPr>
              <w:t>/</w:t>
            </w:r>
          </w:p>
        </w:tc>
      </w:tr>
    </w:tbl>
    <w:p>
      <w:pPr>
        <w:spacing w:line="276" w:lineRule="auto"/>
        <w:rPr>
          <w:rFonts w:ascii="宋体" w:hAnsi="宋体" w:eastAsia="宋体" w:cs="宋体"/>
          <w:color w:val="FF0000"/>
          <w:sz w:val="24"/>
          <w:szCs w:val="24"/>
          <w:highlight w:val="none"/>
        </w:rPr>
      </w:pPr>
    </w:p>
    <w:p>
      <w:pPr>
        <w:spacing w:line="276" w:lineRule="auto"/>
        <w:ind w:firstLine="480" w:firstLineChars="200"/>
        <w:rPr>
          <w:rFonts w:ascii="宋体" w:hAnsi="宋体" w:eastAsia="宋体" w:cs="宋体"/>
          <w:color w:val="FF0000"/>
          <w:sz w:val="24"/>
          <w:szCs w:val="24"/>
          <w:highlight w:val="none"/>
        </w:rPr>
      </w:pPr>
      <w:r>
        <w:rPr>
          <w:rFonts w:ascii="宋体" w:hAnsi="宋体" w:eastAsia="宋体" w:cs="宋体"/>
          <w:sz w:val="24"/>
          <w:szCs w:val="24"/>
          <w:highlight w:val="none"/>
        </w:rPr>
        <w:t>1.</w:t>
      </w:r>
      <w:r>
        <w:rPr>
          <w:rFonts w:hint="eastAsia" w:ascii="宋体" w:hAnsi="宋体" w:eastAsia="宋体" w:cs="宋体"/>
          <w:sz w:val="24"/>
          <w:szCs w:val="24"/>
          <w:highlight w:val="none"/>
        </w:rPr>
        <w:t>东区学生食堂位于四川外国语大学东校区商业街内，共两层，总面积约2</w:t>
      </w:r>
      <w:r>
        <w:rPr>
          <w:rFonts w:ascii="宋体" w:hAnsi="宋体" w:eastAsia="宋体" w:cs="宋体"/>
          <w:sz w:val="24"/>
          <w:szCs w:val="24"/>
          <w:highlight w:val="none"/>
        </w:rPr>
        <w:t>550</w:t>
      </w:r>
      <w:r>
        <w:rPr>
          <w:rFonts w:hint="eastAsia" w:ascii="宋体" w:hAnsi="宋体" w:eastAsia="宋体" w:cs="宋体"/>
          <w:sz w:val="24"/>
          <w:szCs w:val="24"/>
          <w:highlight w:val="none"/>
        </w:rPr>
        <w:t xml:space="preserve"> m²，其中东区学生食堂一楼建筑面积约850m²，东区学生食堂二楼建筑面积约1700m²。2.联合经营期限：</w:t>
      </w:r>
      <w:bookmarkStart w:id="9" w:name="_Toc7418"/>
      <w:bookmarkStart w:id="10" w:name="_Toc422380971"/>
      <w:r>
        <w:rPr>
          <w:rFonts w:hint="eastAsia" w:ascii="宋体" w:hAnsi="宋体" w:eastAsia="宋体" w:cs="宋体"/>
          <w:sz w:val="24"/>
          <w:szCs w:val="24"/>
          <w:highlight w:val="none"/>
        </w:rPr>
        <w:t>2025年8月25日起至2030年春季学期结束。</w:t>
      </w:r>
    </w:p>
    <w:bookmarkEnd w:id="8"/>
    <w:bookmarkEnd w:id="9"/>
    <w:bookmarkEnd w:id="10"/>
    <w:p>
      <w:pPr>
        <w:spacing w:line="276" w:lineRule="auto"/>
        <w:ind w:firstLine="480" w:firstLineChars="200"/>
        <w:rPr>
          <w:rFonts w:ascii="宋体" w:hAnsi="宋体" w:eastAsia="宋体" w:cs="宋体"/>
          <w:sz w:val="24"/>
          <w:szCs w:val="24"/>
          <w:highlight w:val="none"/>
        </w:rPr>
      </w:pPr>
      <w:bookmarkStart w:id="11" w:name="_Toc422380978"/>
      <w:r>
        <w:rPr>
          <w:rFonts w:hint="eastAsia" w:ascii="宋体" w:hAnsi="宋体" w:eastAsia="宋体" w:cs="宋体"/>
          <w:sz w:val="24"/>
          <w:szCs w:val="24"/>
          <w:highlight w:val="none"/>
        </w:rPr>
        <w:t>二、参竞人资格要求</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（一）基本资格条件</w:t>
      </w:r>
      <w:r>
        <w:rPr>
          <w:rFonts w:ascii="宋体" w:hAnsi="宋体" w:eastAsia="宋体" w:cs="宋体"/>
          <w:sz w:val="24"/>
          <w:szCs w:val="24"/>
          <w:highlight w:val="none"/>
        </w:rPr>
        <w:tab/>
      </w:r>
      <w:r>
        <w:rPr>
          <w:rFonts w:ascii="宋体" w:hAnsi="宋体" w:eastAsia="宋体" w:cs="宋体"/>
          <w:sz w:val="24"/>
          <w:szCs w:val="24"/>
          <w:highlight w:val="none"/>
        </w:rPr>
        <w:tab/>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1.具有独立承担民事责任的能力；</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2.具有良好的商业信誉和健全的财务会计制度；</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3.具有履行合同所必须的设备和专业技术能力；</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4.有依法缴纳税收和社会保障资金的良好记录；</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5.参加参竞活动近三年内，在经营活动中没有重大违法记录，不存在失信被执行或正在被执行的情况；</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6.法律、行政法规规定的其他条件。</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（二）特定资格条件（同时具备）</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1．持有有效的</w:t>
      </w:r>
      <w:r>
        <w:rPr>
          <w:rFonts w:hint="eastAsia" w:ascii="宋体" w:hAnsi="宋体" w:eastAsia="宋体" w:cs="宋体"/>
          <w:sz w:val="24"/>
          <w:szCs w:val="24"/>
          <w:highlight w:val="none"/>
        </w:rPr>
        <w:t>食品经营</w:t>
      </w:r>
      <w:r>
        <w:rPr>
          <w:rFonts w:ascii="宋体" w:hAnsi="宋体" w:eastAsia="宋体" w:cs="宋体"/>
          <w:sz w:val="24"/>
          <w:szCs w:val="24"/>
          <w:highlight w:val="none"/>
        </w:rPr>
        <w:t>许可证</w:t>
      </w:r>
      <w:r>
        <w:rPr>
          <w:rFonts w:hint="eastAsia" w:ascii="宋体" w:hAnsi="宋体" w:eastAsia="宋体" w:cs="宋体"/>
          <w:sz w:val="24"/>
          <w:szCs w:val="24"/>
          <w:highlight w:val="none"/>
        </w:rPr>
        <w:t>等</w:t>
      </w:r>
      <w:r>
        <w:rPr>
          <w:rFonts w:ascii="宋体" w:hAnsi="宋体" w:eastAsia="宋体" w:cs="宋体"/>
          <w:sz w:val="24"/>
          <w:szCs w:val="24"/>
          <w:highlight w:val="none"/>
        </w:rPr>
        <w:t>各种证照；</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2．应具备独立的法人资格，注册资本不低于2000万人民币，2025年1月1日至2025年4月30日</w:t>
      </w:r>
      <w:r>
        <w:rPr>
          <w:rFonts w:hint="eastAsia" w:ascii="宋体" w:hAnsi="宋体" w:eastAsia="宋体" w:cs="宋体"/>
          <w:sz w:val="24"/>
          <w:szCs w:val="24"/>
          <w:highlight w:val="none"/>
        </w:rPr>
        <w:t>期间</w:t>
      </w:r>
      <w:r>
        <w:rPr>
          <w:rFonts w:ascii="宋体" w:hAnsi="宋体" w:eastAsia="宋体" w:cs="宋体"/>
          <w:sz w:val="24"/>
          <w:szCs w:val="24"/>
          <w:highlight w:val="none"/>
        </w:rPr>
        <w:t>公司银行日均存款不少于100万元人民币；</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3．需具有丰富的高校学生食堂管理经验，从事高校食堂经营管理不少于5年。</w:t>
      </w:r>
      <w:r>
        <w:rPr>
          <w:rFonts w:hint="eastAsia" w:ascii="宋体" w:hAnsi="宋体" w:eastAsia="宋体" w:cs="宋体"/>
          <w:sz w:val="24"/>
          <w:szCs w:val="24"/>
          <w:highlight w:val="none"/>
        </w:rPr>
        <w:t>2</w:t>
      </w:r>
      <w:r>
        <w:rPr>
          <w:rFonts w:ascii="宋体" w:hAnsi="宋体" w:eastAsia="宋体" w:cs="宋体"/>
          <w:sz w:val="24"/>
          <w:szCs w:val="24"/>
          <w:highlight w:val="none"/>
        </w:rPr>
        <w:t>025</w:t>
      </w:r>
      <w:r>
        <w:rPr>
          <w:rFonts w:hint="eastAsia" w:ascii="宋体" w:hAnsi="宋体" w:eastAsia="宋体" w:cs="宋体"/>
          <w:sz w:val="24"/>
          <w:szCs w:val="24"/>
          <w:highlight w:val="none"/>
        </w:rPr>
        <w:t>年6月3</w:t>
      </w:r>
      <w:r>
        <w:rPr>
          <w:rFonts w:ascii="宋体" w:hAnsi="宋体" w:eastAsia="宋体" w:cs="宋体"/>
          <w:sz w:val="24"/>
          <w:szCs w:val="24"/>
          <w:highlight w:val="none"/>
        </w:rPr>
        <w:t>0</w:t>
      </w:r>
      <w:r>
        <w:rPr>
          <w:rFonts w:hint="eastAsia" w:ascii="宋体" w:hAnsi="宋体" w:eastAsia="宋体" w:cs="宋体"/>
          <w:sz w:val="24"/>
          <w:szCs w:val="24"/>
          <w:highlight w:val="none"/>
        </w:rPr>
        <w:t>日仍有</w:t>
      </w:r>
      <w:r>
        <w:rPr>
          <w:rFonts w:ascii="宋体" w:hAnsi="宋体" w:eastAsia="宋体" w:cs="宋体"/>
          <w:sz w:val="24"/>
          <w:szCs w:val="24"/>
          <w:highlight w:val="none"/>
        </w:rPr>
        <w:t>经营的高校食堂不少于3个，且单个高校经营食堂总面积不少于2500平方米。</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（三）其他资格条件</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2025年1月1日至2025年5月31日期间，在四川外国语大学经营食堂的餐饮公司，不能参竞本项目。</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三、现场踏勘</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一）学校不组织集中现场踏勘，请参竞人自行对项目服务现场和周围环境进行勘察，并根据现场勘察了解项目情况，测算各项工作量，获取有关准备参竞文件和签署合同所需要的资料和信息。参竞人据此做出的判断和决策，由参竞人自行负责。</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二）无论参竞人是否进行现场踏勘，均视为已踏勘过现场并认可本项目现场情况，在递交参竞文件前已经充分了解本项目整体情况。能对应作出符合文件要求的实施方案，可能产生的风险意外已在参竞文件中体现。</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（三）参竞人因自身原因未到现场实地踏勘的，在签订合同时和履约过程中，不得以不完全了解现场情况为由，提出任何形式的增加款项或索赔的要求。</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（四）勘察现场所发生的一切费用由潜在参竞人自行承担。</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联系人：罗老师</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电</w:t>
      </w:r>
      <w:r>
        <w:rPr>
          <w:rFonts w:ascii="宋体" w:hAnsi="宋体" w:eastAsia="宋体" w:cs="宋体"/>
          <w:sz w:val="24"/>
          <w:szCs w:val="24"/>
          <w:highlight w:val="none"/>
        </w:rPr>
        <w:t xml:space="preserve">  话：13594125273</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四、报名、参竞保证金及文件购买费</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（一）报名</w:t>
      </w:r>
      <w:r>
        <w:rPr>
          <w:rFonts w:ascii="宋体" w:hAnsi="宋体" w:eastAsia="宋体" w:cs="宋体"/>
          <w:sz w:val="24"/>
          <w:szCs w:val="24"/>
          <w:highlight w:val="none"/>
        </w:rPr>
        <w:t xml:space="preserve">  </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w:t>
      </w:r>
      <w:r>
        <w:rPr>
          <w:rFonts w:ascii="宋体" w:hAnsi="宋体" w:eastAsia="宋体" w:cs="宋体"/>
          <w:sz w:val="24"/>
          <w:szCs w:val="24"/>
          <w:highlight w:val="none"/>
        </w:rPr>
        <w:tab/>
      </w:r>
      <w:r>
        <w:rPr>
          <w:rFonts w:ascii="宋体" w:hAnsi="宋体" w:eastAsia="宋体" w:cs="宋体"/>
          <w:sz w:val="24"/>
          <w:szCs w:val="24"/>
          <w:highlight w:val="none"/>
        </w:rPr>
        <w:t>报名时间及方式：</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2025年</w:t>
      </w:r>
      <w:r>
        <w:rPr>
          <w:rFonts w:hint="eastAsia" w:ascii="宋体" w:hAnsi="宋体" w:eastAsia="宋体" w:cs="宋体"/>
          <w:sz w:val="24"/>
          <w:szCs w:val="24"/>
          <w:highlight w:val="none"/>
          <w:lang w:val="en-US" w:eastAsia="zh-CN"/>
        </w:rPr>
        <w:t>6</w:t>
      </w:r>
      <w:r>
        <w:rPr>
          <w:rFonts w:ascii="宋体" w:hAnsi="宋体" w:eastAsia="宋体" w:cs="宋体"/>
          <w:sz w:val="24"/>
          <w:szCs w:val="24"/>
          <w:highlight w:val="none"/>
        </w:rPr>
        <w:t>月</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7</w:t>
      </w:r>
      <w:r>
        <w:rPr>
          <w:rFonts w:ascii="宋体" w:hAnsi="宋体" w:eastAsia="宋体" w:cs="宋体"/>
          <w:sz w:val="24"/>
          <w:szCs w:val="24"/>
          <w:highlight w:val="none"/>
        </w:rPr>
        <w:t>日00：00--6月</w:t>
      </w:r>
      <w:r>
        <w:rPr>
          <w:rFonts w:hint="eastAsia" w:ascii="宋体" w:hAnsi="宋体" w:eastAsia="宋体" w:cs="宋体"/>
          <w:sz w:val="24"/>
          <w:szCs w:val="24"/>
          <w:highlight w:val="none"/>
          <w:lang w:val="en-US" w:eastAsia="zh-CN"/>
        </w:rPr>
        <w:t>30</w:t>
      </w:r>
      <w:r>
        <w:rPr>
          <w:rFonts w:ascii="宋体" w:hAnsi="宋体" w:eastAsia="宋体" w:cs="宋体"/>
          <w:sz w:val="24"/>
          <w:szCs w:val="24"/>
          <w:highlight w:val="none"/>
        </w:rPr>
        <w:t>日</w:t>
      </w:r>
      <w:r>
        <w:rPr>
          <w:rFonts w:hint="eastAsia" w:ascii="宋体" w:hAnsi="宋体" w:eastAsia="宋体" w:cs="宋体"/>
          <w:sz w:val="24"/>
          <w:szCs w:val="24"/>
          <w:highlight w:val="none"/>
        </w:rPr>
        <w:t>中午12</w:t>
      </w:r>
      <w:r>
        <w:rPr>
          <w:rFonts w:ascii="宋体" w:hAnsi="宋体" w:eastAsia="宋体" w:cs="宋体"/>
          <w:sz w:val="24"/>
          <w:szCs w:val="24"/>
          <w:highlight w:val="none"/>
        </w:rPr>
        <w:t xml:space="preserve">：00将报名表（见附件4）和报名资料扫描件发送邮箱zcc@sisu.edu.cn （非报名时间段内到达邮箱的，视为无效报名。）       </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2..报名资料：</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 xml:space="preserve"> 营业执照、法定代表人身份证明；非法定代表人办理的，还需提供经法定代表人签字并加盖法人公章的授权委托书、代理人身份证明。</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（二）参竞保证金及文件购买费、缴纳方式</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文件购买费：</w:t>
      </w:r>
      <w:r>
        <w:rPr>
          <w:rFonts w:ascii="宋体" w:hAnsi="宋体" w:eastAsia="宋体" w:cs="宋体"/>
          <w:sz w:val="24"/>
          <w:szCs w:val="24"/>
          <w:highlight w:val="none"/>
        </w:rPr>
        <w:t>1000</w:t>
      </w:r>
      <w:r>
        <w:rPr>
          <w:rFonts w:hint="eastAsia" w:ascii="宋体" w:hAnsi="宋体" w:eastAsia="宋体" w:cs="宋体"/>
          <w:sz w:val="24"/>
          <w:szCs w:val="24"/>
          <w:highlight w:val="none"/>
        </w:rPr>
        <w:t>元/人/包</w:t>
      </w:r>
      <w:r>
        <w:rPr>
          <w:rFonts w:ascii="宋体" w:hAnsi="宋体" w:eastAsia="宋体" w:cs="宋体"/>
          <w:sz w:val="24"/>
          <w:szCs w:val="24"/>
          <w:highlight w:val="none"/>
        </w:rPr>
        <w:t>（售后不退）</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参竞保证金金额：</w:t>
      </w:r>
      <w:r>
        <w:rPr>
          <w:rFonts w:ascii="宋体" w:hAnsi="宋体" w:eastAsia="宋体" w:cs="宋体"/>
          <w:sz w:val="24"/>
          <w:szCs w:val="24"/>
          <w:highlight w:val="none"/>
        </w:rPr>
        <w:t>50万</w:t>
      </w:r>
      <w:r>
        <w:rPr>
          <w:rFonts w:hint="eastAsia" w:ascii="宋体" w:hAnsi="宋体" w:eastAsia="宋体" w:cs="宋体"/>
          <w:sz w:val="24"/>
          <w:szCs w:val="24"/>
          <w:highlight w:val="none"/>
        </w:rPr>
        <w:t>元/人/包</w:t>
      </w:r>
      <w:r>
        <w:rPr>
          <w:rFonts w:ascii="宋体" w:hAnsi="宋体" w:eastAsia="宋体" w:cs="宋体"/>
          <w:sz w:val="24"/>
          <w:szCs w:val="24"/>
          <w:highlight w:val="none"/>
        </w:rPr>
        <w:t>。</w:t>
      </w:r>
    </w:p>
    <w:p>
      <w:pPr>
        <w:spacing w:line="24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参竞人需于</w:t>
      </w:r>
      <w:r>
        <w:rPr>
          <w:rFonts w:ascii="宋体" w:hAnsi="宋体" w:eastAsia="宋体" w:cs="宋体"/>
          <w:sz w:val="24"/>
          <w:szCs w:val="24"/>
          <w:highlight w:val="none"/>
        </w:rPr>
        <w:t>2025年6月2</w:t>
      </w:r>
      <w:r>
        <w:rPr>
          <w:rFonts w:hint="eastAsia" w:ascii="宋体" w:hAnsi="宋体" w:eastAsia="宋体" w:cs="宋体"/>
          <w:sz w:val="24"/>
          <w:szCs w:val="24"/>
          <w:highlight w:val="none"/>
          <w:lang w:val="en-US" w:eastAsia="zh-CN"/>
        </w:rPr>
        <w:t>7</w:t>
      </w:r>
      <w:r>
        <w:rPr>
          <w:rFonts w:ascii="宋体" w:hAnsi="宋体" w:eastAsia="宋体" w:cs="宋体"/>
          <w:sz w:val="24"/>
          <w:szCs w:val="24"/>
          <w:highlight w:val="none"/>
        </w:rPr>
        <w:t>日00：00--6月</w:t>
      </w:r>
      <w:r>
        <w:rPr>
          <w:rFonts w:hint="eastAsia" w:ascii="宋体" w:hAnsi="宋体" w:eastAsia="宋体" w:cs="宋体"/>
          <w:sz w:val="24"/>
          <w:szCs w:val="24"/>
          <w:highlight w:val="none"/>
          <w:lang w:val="en-US" w:eastAsia="zh-CN"/>
        </w:rPr>
        <w:t>30</w:t>
      </w:r>
      <w:r>
        <w:rPr>
          <w:rFonts w:ascii="宋体" w:hAnsi="宋体" w:eastAsia="宋体" w:cs="宋体"/>
          <w:sz w:val="24"/>
          <w:szCs w:val="24"/>
          <w:highlight w:val="none"/>
        </w:rPr>
        <w:t>日</w:t>
      </w:r>
      <w:r>
        <w:rPr>
          <w:rFonts w:hint="eastAsia" w:ascii="宋体" w:hAnsi="宋体" w:eastAsia="宋体" w:cs="宋体"/>
          <w:sz w:val="24"/>
          <w:szCs w:val="24"/>
          <w:highlight w:val="none"/>
        </w:rPr>
        <w:t>中午12</w:t>
      </w:r>
      <w:r>
        <w:rPr>
          <w:rFonts w:ascii="宋体" w:hAnsi="宋体" w:eastAsia="宋体" w:cs="宋体"/>
          <w:sz w:val="24"/>
          <w:szCs w:val="24"/>
          <w:highlight w:val="none"/>
        </w:rPr>
        <w:t>：00内向四川外国语大学账户分别转入文件购买费1000</w:t>
      </w:r>
      <w:r>
        <w:rPr>
          <w:rFonts w:hint="eastAsia" w:ascii="宋体" w:hAnsi="宋体" w:eastAsia="宋体" w:cs="宋体"/>
          <w:sz w:val="24"/>
          <w:szCs w:val="24"/>
          <w:highlight w:val="none"/>
        </w:rPr>
        <w:t>元/人/包</w:t>
      </w:r>
      <w:r>
        <w:rPr>
          <w:rFonts w:ascii="宋体" w:hAnsi="宋体" w:eastAsia="宋体" w:cs="宋体"/>
          <w:sz w:val="24"/>
          <w:szCs w:val="24"/>
          <w:highlight w:val="none"/>
        </w:rPr>
        <w:t>和参竞保证金50万</w:t>
      </w:r>
      <w:r>
        <w:rPr>
          <w:rFonts w:hint="eastAsia" w:ascii="宋体" w:hAnsi="宋体" w:eastAsia="宋体" w:cs="宋体"/>
          <w:sz w:val="24"/>
          <w:szCs w:val="24"/>
          <w:highlight w:val="none"/>
        </w:rPr>
        <w:t>元/人/包</w:t>
      </w:r>
      <w:r>
        <w:rPr>
          <w:rFonts w:ascii="宋体" w:hAnsi="宋体" w:eastAsia="宋体" w:cs="宋体"/>
          <w:sz w:val="24"/>
          <w:szCs w:val="24"/>
          <w:highlight w:val="none"/>
        </w:rPr>
        <w:t>，超过截至时间转入的无效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曾参竞2025年6月6日和6月18日“四川外国语大学东校区学生食堂西校区学生二食堂联合经营项目”的参竞人，如继续参竞本项目，无需另行缴纳参竞保证金。</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；转账后，将转账凭证纸质版于现场评审当日</w:t>
      </w:r>
      <w:r>
        <w:rPr>
          <w:rFonts w:hint="eastAsia" w:ascii="宋体" w:hAnsi="宋体" w:eastAsia="宋体" w:cs="宋体"/>
          <w:sz w:val="24"/>
          <w:szCs w:val="24"/>
          <w:highlight w:val="none"/>
        </w:rPr>
        <w:t>9:00</w:t>
      </w:r>
      <w:r>
        <w:rPr>
          <w:rFonts w:ascii="宋体" w:hAnsi="宋体" w:eastAsia="宋体" w:cs="宋体"/>
          <w:sz w:val="24"/>
          <w:szCs w:val="24"/>
          <w:highlight w:val="none"/>
        </w:rPr>
        <w:t>以前提交至四川外国语大学资产管理处310</w:t>
      </w:r>
      <w:r>
        <w:rPr>
          <w:rFonts w:hint="eastAsia" w:ascii="宋体" w:hAnsi="宋体" w:eastAsia="宋体" w:cs="宋体"/>
          <w:sz w:val="24"/>
          <w:szCs w:val="24"/>
          <w:highlight w:val="none"/>
        </w:rPr>
        <w:t>办公室</w:t>
      </w:r>
      <w:r>
        <w:rPr>
          <w:rFonts w:ascii="宋体" w:hAnsi="宋体" w:eastAsia="宋体" w:cs="宋体"/>
          <w:sz w:val="24"/>
          <w:szCs w:val="24"/>
          <w:highlight w:val="none"/>
        </w:rPr>
        <w:t>。</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w:t>
      </w:r>
      <w:r>
        <w:rPr>
          <w:rFonts w:ascii="宋体" w:hAnsi="宋体" w:eastAsia="宋体" w:cs="宋体"/>
          <w:sz w:val="24"/>
          <w:szCs w:val="24"/>
          <w:highlight w:val="none"/>
        </w:rPr>
        <w:tab/>
      </w:r>
      <w:r>
        <w:rPr>
          <w:rFonts w:ascii="宋体" w:hAnsi="宋体" w:eastAsia="宋体" w:cs="宋体"/>
          <w:sz w:val="24"/>
          <w:szCs w:val="24"/>
          <w:highlight w:val="none"/>
        </w:rPr>
        <w:t>收款单位信息 :</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(1)单位名称：四川外国语大学</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(2)开户行 ：民生银行重庆沙坪坝支行</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(3)账号：9902001760577096</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2.参竞人在填写</w:t>
      </w:r>
      <w:r>
        <w:rPr>
          <w:rFonts w:hint="eastAsia" w:ascii="宋体" w:hAnsi="宋体" w:eastAsia="宋体" w:cs="宋体"/>
          <w:sz w:val="24"/>
          <w:szCs w:val="24"/>
          <w:highlight w:val="none"/>
        </w:rPr>
        <w:t>转</w:t>
      </w:r>
      <w:r>
        <w:rPr>
          <w:rFonts w:ascii="宋体" w:hAnsi="宋体" w:eastAsia="宋体" w:cs="宋体"/>
          <w:sz w:val="24"/>
          <w:szCs w:val="24"/>
          <w:highlight w:val="none"/>
        </w:rPr>
        <w:t>账单或电汇凭证时，必须注明项目名称的全称(四川外国语大学</w:t>
      </w:r>
      <w:r>
        <w:rPr>
          <w:rFonts w:hint="eastAsia" w:ascii="宋体" w:hAnsi="宋体" w:eastAsia="宋体" w:cs="宋体"/>
          <w:sz w:val="24"/>
          <w:szCs w:val="24"/>
          <w:highlight w:val="none"/>
        </w:rPr>
        <w:t>东校区学生食堂堂</w:t>
      </w:r>
      <w:r>
        <w:rPr>
          <w:rFonts w:ascii="宋体" w:hAnsi="宋体" w:eastAsia="宋体" w:cs="宋体"/>
          <w:sz w:val="24"/>
          <w:szCs w:val="24"/>
          <w:highlight w:val="none"/>
        </w:rPr>
        <w:t>联合经营项目参竞保证金或文件购买费)</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咨询电话：</w:t>
      </w:r>
      <w:r>
        <w:rPr>
          <w:rFonts w:ascii="宋体" w:hAnsi="宋体" w:eastAsia="宋体" w:cs="宋体"/>
          <w:sz w:val="24"/>
          <w:szCs w:val="24"/>
          <w:highlight w:val="none"/>
        </w:rPr>
        <w:t xml:space="preserve"> 罗老师</w:t>
      </w:r>
      <w:r>
        <w:rPr>
          <w:rFonts w:hint="eastAsia" w:ascii="宋体" w:hAnsi="宋体" w:eastAsia="宋体" w:cs="宋体"/>
          <w:sz w:val="24"/>
          <w:szCs w:val="24"/>
          <w:highlight w:val="none"/>
        </w:rPr>
        <w:t xml:space="preserve"> </w:t>
      </w:r>
      <w:r>
        <w:rPr>
          <w:rFonts w:ascii="宋体" w:hAnsi="宋体" w:eastAsia="宋体" w:cs="宋体"/>
          <w:sz w:val="24"/>
          <w:szCs w:val="24"/>
          <w:highlight w:val="none"/>
        </w:rPr>
        <w:t>13594121273</w:t>
      </w:r>
      <w:r>
        <w:rPr>
          <w:rFonts w:hint="eastAsia" w:ascii="宋体" w:hAnsi="宋体" w:eastAsia="宋体" w:cs="宋体"/>
          <w:sz w:val="24"/>
          <w:szCs w:val="24"/>
          <w:highlight w:val="none"/>
        </w:rPr>
        <w:t>，杨老师</w:t>
      </w:r>
      <w:r>
        <w:rPr>
          <w:rFonts w:ascii="宋体" w:hAnsi="宋体" w:eastAsia="宋体" w:cs="宋体"/>
          <w:sz w:val="24"/>
          <w:szCs w:val="24"/>
          <w:highlight w:val="none"/>
        </w:rPr>
        <w:t xml:space="preserve">  023-65385166</w:t>
      </w:r>
      <w:r>
        <w:rPr>
          <w:rFonts w:hint="eastAsia" w:ascii="宋体" w:hAnsi="宋体" w:eastAsia="宋体" w:cs="宋体"/>
          <w:sz w:val="24"/>
          <w:szCs w:val="24"/>
          <w:highlight w:val="none"/>
        </w:rPr>
        <w:t xml:space="preserve">  18182210918</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（三）参竞保证金退还方式</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评审结果公示无异议，拟成交人与学校签订合同时参竞保证金直接转为履约保证金的一部分；成交人与学校签订合同后，学校将按照退还保证金相关规定无息退还其他非成交人。</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五、现场评审、结果公示</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（一）</w:t>
      </w:r>
      <w:r>
        <w:rPr>
          <w:rFonts w:ascii="宋体" w:hAnsi="宋体" w:eastAsia="宋体" w:cs="宋体"/>
          <w:sz w:val="24"/>
          <w:szCs w:val="24"/>
          <w:highlight w:val="none"/>
        </w:rPr>
        <w:tab/>
      </w:r>
      <w:r>
        <w:rPr>
          <w:rFonts w:ascii="宋体" w:hAnsi="宋体" w:eastAsia="宋体" w:cs="宋体"/>
          <w:sz w:val="24"/>
          <w:szCs w:val="24"/>
          <w:highlight w:val="none"/>
        </w:rPr>
        <w:t>参竞文件递交</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时间：</w:t>
      </w:r>
      <w:r>
        <w:rPr>
          <w:rFonts w:ascii="宋体" w:hAnsi="宋体" w:eastAsia="宋体" w:cs="宋体"/>
          <w:sz w:val="24"/>
          <w:szCs w:val="24"/>
          <w:highlight w:val="none"/>
        </w:rPr>
        <w:t xml:space="preserve">2025年 </w:t>
      </w:r>
      <w:r>
        <w:rPr>
          <w:rFonts w:hint="eastAsia" w:ascii="宋体" w:hAnsi="宋体" w:eastAsia="宋体" w:cs="宋体"/>
          <w:sz w:val="24"/>
          <w:szCs w:val="24"/>
          <w:highlight w:val="none"/>
          <w:lang w:val="en-US" w:eastAsia="zh-CN"/>
        </w:rPr>
        <w:t>7</w:t>
      </w:r>
      <w:r>
        <w:rPr>
          <w:rFonts w:ascii="宋体" w:hAnsi="宋体" w:eastAsia="宋体" w:cs="宋体"/>
          <w:sz w:val="24"/>
          <w:szCs w:val="24"/>
          <w:highlight w:val="none"/>
        </w:rPr>
        <w:t>月</w:t>
      </w:r>
      <w:r>
        <w:rPr>
          <w:rFonts w:hint="eastAsia" w:ascii="宋体" w:hAnsi="宋体" w:eastAsia="宋体" w:cs="宋体"/>
          <w:sz w:val="24"/>
          <w:szCs w:val="24"/>
          <w:highlight w:val="none"/>
          <w:lang w:val="en-US" w:eastAsia="zh-CN"/>
        </w:rPr>
        <w:t>1</w:t>
      </w:r>
      <w:r>
        <w:rPr>
          <w:rFonts w:ascii="宋体" w:hAnsi="宋体" w:eastAsia="宋体" w:cs="宋体"/>
          <w:sz w:val="24"/>
          <w:szCs w:val="24"/>
          <w:highlight w:val="none"/>
        </w:rPr>
        <w:t>日上午</w:t>
      </w:r>
      <w:r>
        <w:rPr>
          <w:rFonts w:hint="eastAsia" w:ascii="宋体" w:hAnsi="宋体" w:eastAsia="宋体" w:cs="宋体"/>
          <w:sz w:val="24"/>
          <w:szCs w:val="24"/>
          <w:highlight w:val="none"/>
        </w:rPr>
        <w:t>8</w:t>
      </w:r>
      <w:r>
        <w:rPr>
          <w:rFonts w:ascii="宋体" w:hAnsi="宋体" w:eastAsia="宋体" w:cs="宋体"/>
          <w:sz w:val="24"/>
          <w:szCs w:val="24"/>
          <w:highlight w:val="none"/>
        </w:rPr>
        <w:t>：</w:t>
      </w:r>
      <w:r>
        <w:rPr>
          <w:rFonts w:hint="eastAsia" w:ascii="宋体" w:hAnsi="宋体" w:eastAsia="宋体" w:cs="宋体"/>
          <w:sz w:val="24"/>
          <w:szCs w:val="24"/>
          <w:highlight w:val="none"/>
        </w:rPr>
        <w:t>3</w:t>
      </w:r>
      <w:r>
        <w:rPr>
          <w:rFonts w:ascii="宋体" w:hAnsi="宋体" w:eastAsia="宋体" w:cs="宋体"/>
          <w:sz w:val="24"/>
          <w:szCs w:val="24"/>
          <w:highlight w:val="none"/>
        </w:rPr>
        <w:t>0</w:t>
      </w:r>
      <w:r>
        <w:rPr>
          <w:rFonts w:hint="eastAsia" w:ascii="宋体" w:hAnsi="宋体" w:eastAsia="宋体" w:cs="宋体"/>
          <w:sz w:val="24"/>
          <w:szCs w:val="24"/>
          <w:highlight w:val="none"/>
        </w:rPr>
        <w:t>-9:00</w:t>
      </w:r>
      <w:r>
        <w:rPr>
          <w:rFonts w:ascii="宋体" w:hAnsi="宋体" w:eastAsia="宋体" w:cs="宋体"/>
          <w:sz w:val="24"/>
          <w:szCs w:val="24"/>
          <w:highlight w:val="none"/>
        </w:rPr>
        <w:t>（超过截止时间递交的参竞文件不再接收）</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地点：重庆市沙坪坝区烈士墓壮志路</w:t>
      </w:r>
      <w:r>
        <w:rPr>
          <w:rFonts w:ascii="宋体" w:hAnsi="宋体" w:eastAsia="宋体" w:cs="宋体"/>
          <w:sz w:val="24"/>
          <w:szCs w:val="24"/>
          <w:highlight w:val="none"/>
        </w:rPr>
        <w:t>33号四川外国语大学资产管理处310</w:t>
      </w:r>
      <w:r>
        <w:rPr>
          <w:rFonts w:hint="eastAsia" w:ascii="宋体" w:hAnsi="宋体" w:eastAsia="宋体" w:cs="宋体"/>
          <w:sz w:val="24"/>
          <w:szCs w:val="24"/>
          <w:highlight w:val="none"/>
        </w:rPr>
        <w:t>办公室</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（二）</w:t>
      </w:r>
      <w:r>
        <w:rPr>
          <w:rFonts w:ascii="宋体" w:hAnsi="宋体" w:eastAsia="宋体" w:cs="宋体"/>
          <w:sz w:val="24"/>
          <w:szCs w:val="24"/>
          <w:highlight w:val="none"/>
        </w:rPr>
        <w:tab/>
      </w:r>
      <w:r>
        <w:rPr>
          <w:rFonts w:ascii="宋体" w:hAnsi="宋体" w:eastAsia="宋体" w:cs="宋体"/>
          <w:sz w:val="24"/>
          <w:szCs w:val="24"/>
          <w:highlight w:val="none"/>
        </w:rPr>
        <w:t>现场评审</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时间：</w:t>
      </w:r>
      <w:r>
        <w:rPr>
          <w:rFonts w:ascii="宋体" w:hAnsi="宋体" w:eastAsia="宋体" w:cs="宋体"/>
          <w:sz w:val="24"/>
          <w:szCs w:val="24"/>
          <w:highlight w:val="none"/>
        </w:rPr>
        <w:t xml:space="preserve">2025年 </w:t>
      </w:r>
      <w:r>
        <w:rPr>
          <w:rFonts w:hint="eastAsia" w:ascii="宋体" w:hAnsi="宋体" w:eastAsia="宋体" w:cs="宋体"/>
          <w:sz w:val="24"/>
          <w:szCs w:val="24"/>
          <w:highlight w:val="none"/>
          <w:lang w:val="en-US" w:eastAsia="zh-CN"/>
        </w:rPr>
        <w:t>7</w:t>
      </w:r>
      <w:r>
        <w:rPr>
          <w:rFonts w:ascii="宋体" w:hAnsi="宋体" w:eastAsia="宋体" w:cs="宋体"/>
          <w:sz w:val="24"/>
          <w:szCs w:val="24"/>
          <w:highlight w:val="none"/>
        </w:rPr>
        <w:t>月</w:t>
      </w:r>
      <w:r>
        <w:rPr>
          <w:rFonts w:hint="eastAsia" w:ascii="宋体" w:hAnsi="宋体" w:eastAsia="宋体" w:cs="宋体"/>
          <w:sz w:val="24"/>
          <w:szCs w:val="24"/>
          <w:highlight w:val="none"/>
          <w:lang w:val="en-US" w:eastAsia="zh-CN"/>
        </w:rPr>
        <w:t>1</w:t>
      </w:r>
      <w:r>
        <w:rPr>
          <w:rFonts w:ascii="宋体" w:hAnsi="宋体" w:eastAsia="宋体" w:cs="宋体"/>
          <w:sz w:val="24"/>
          <w:szCs w:val="24"/>
          <w:highlight w:val="none"/>
        </w:rPr>
        <w:t>日上午</w:t>
      </w:r>
      <w:r>
        <w:rPr>
          <w:rFonts w:hint="eastAsia" w:ascii="宋体" w:hAnsi="宋体" w:eastAsia="宋体" w:cs="宋体"/>
          <w:sz w:val="24"/>
          <w:szCs w:val="24"/>
          <w:highlight w:val="none"/>
        </w:rPr>
        <w:t>9:00</w:t>
      </w:r>
      <w:r>
        <w:rPr>
          <w:rFonts w:ascii="宋体" w:hAnsi="宋体" w:eastAsia="宋体" w:cs="宋体"/>
          <w:sz w:val="24"/>
          <w:szCs w:val="24"/>
          <w:highlight w:val="none"/>
        </w:rPr>
        <w:t xml:space="preserve">     </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地点：重庆市沙坪坝区烈士墓壮志路</w:t>
      </w:r>
      <w:r>
        <w:rPr>
          <w:rFonts w:ascii="宋体" w:hAnsi="宋体" w:eastAsia="宋体" w:cs="宋体"/>
          <w:sz w:val="24"/>
          <w:szCs w:val="24"/>
          <w:highlight w:val="none"/>
        </w:rPr>
        <w:t>33号四川外国语大学资产管理处310</w:t>
      </w:r>
      <w:r>
        <w:rPr>
          <w:rFonts w:hint="eastAsia" w:ascii="宋体" w:hAnsi="宋体" w:eastAsia="宋体" w:cs="宋体"/>
          <w:sz w:val="24"/>
          <w:szCs w:val="24"/>
          <w:highlight w:val="none"/>
        </w:rPr>
        <w:t>办公室</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 xml:space="preserve">（三）拟成交结果公示   </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 xml:space="preserve"> 拟成交结果将在评审结束后公示于四川外国语大学校园网，公示时间为</w:t>
      </w:r>
      <w:r>
        <w:rPr>
          <w:rFonts w:hint="eastAsia" w:ascii="宋体" w:hAnsi="宋体" w:eastAsia="宋体" w:cs="宋体"/>
          <w:sz w:val="24"/>
          <w:szCs w:val="24"/>
          <w:highlight w:val="none"/>
        </w:rPr>
        <w:t>五</w:t>
      </w:r>
      <w:r>
        <w:rPr>
          <w:rFonts w:ascii="宋体" w:hAnsi="宋体" w:eastAsia="宋体" w:cs="宋体"/>
          <w:sz w:val="24"/>
          <w:szCs w:val="24"/>
          <w:highlight w:val="none"/>
        </w:rPr>
        <w:t>个工作日。</w:t>
      </w:r>
    </w:p>
    <w:p>
      <w:pPr>
        <w:pStyle w:val="237"/>
        <w:numPr>
          <w:ilvl w:val="0"/>
          <w:numId w:val="17"/>
        </w:numPr>
        <w:spacing w:line="276" w:lineRule="auto"/>
        <w:ind w:firstLineChars="0"/>
        <w:rPr>
          <w:rFonts w:ascii="宋体" w:hAnsi="宋体" w:cs="宋体"/>
          <w:sz w:val="24"/>
          <w:szCs w:val="24"/>
          <w:highlight w:val="none"/>
        </w:rPr>
      </w:pPr>
      <w:r>
        <w:rPr>
          <w:rFonts w:hint="eastAsia" w:ascii="宋体" w:hAnsi="宋体" w:cs="宋体"/>
          <w:sz w:val="24"/>
          <w:szCs w:val="24"/>
          <w:highlight w:val="none"/>
        </w:rPr>
        <w:t>履约保证金</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履约保证金金额：</w:t>
      </w:r>
      <w:r>
        <w:rPr>
          <w:rFonts w:ascii="宋体" w:hAnsi="宋体" w:eastAsia="宋体" w:cs="宋体"/>
          <w:sz w:val="24"/>
          <w:szCs w:val="24"/>
          <w:highlight w:val="none"/>
        </w:rPr>
        <w:t>150万元</w:t>
      </w:r>
      <w:r>
        <w:rPr>
          <w:rFonts w:hint="eastAsia" w:ascii="宋体" w:hAnsi="宋体" w:eastAsia="宋体" w:cs="宋体"/>
          <w:sz w:val="24"/>
          <w:szCs w:val="24"/>
          <w:highlight w:val="none"/>
        </w:rPr>
        <w:t>/包</w:t>
      </w:r>
      <w:r>
        <w:rPr>
          <w:rFonts w:ascii="宋体" w:hAnsi="宋体" w:eastAsia="宋体" w:cs="宋体"/>
          <w:sz w:val="24"/>
          <w:szCs w:val="24"/>
          <w:highlight w:val="none"/>
        </w:rPr>
        <w:t>。（大写：壹佰伍拾万元）</w:t>
      </w:r>
      <w:r>
        <w:rPr>
          <w:rFonts w:hint="eastAsia" w:ascii="宋体" w:hAnsi="宋体" w:eastAsia="宋体" w:cs="宋体"/>
          <w:sz w:val="24"/>
          <w:szCs w:val="24"/>
          <w:highlight w:val="none"/>
        </w:rPr>
        <w:t>。</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成交人与学校签订合同时参竞保证金直接转为履约保证金的一部分，差额部分于合同签订前不足。</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保证金需在合同期满且处理完合同期内发生的违约、劳动、劳务纠纷等遗留问题并如约撤场后十五个工作日内无息返还。</w:t>
      </w:r>
    </w:p>
    <w:p>
      <w:pPr>
        <w:spacing w:line="276"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 xml:space="preserve">                            第二篇 项目商务要求</w:t>
      </w:r>
      <w:bookmarkEnd w:id="11"/>
    </w:p>
    <w:p>
      <w:pPr>
        <w:pStyle w:val="3"/>
        <w:tabs>
          <w:tab w:val="clear" w:pos="3360"/>
        </w:tabs>
        <w:spacing w:before="312" w:after="156" w:line="276" w:lineRule="auto"/>
        <w:ind w:firstLine="482" w:firstLineChars="200"/>
        <w:jc w:val="left"/>
        <w:rPr>
          <w:rFonts w:cs="宋体"/>
          <w:b/>
          <w:bCs/>
          <w:sz w:val="24"/>
          <w:szCs w:val="24"/>
          <w:highlight w:val="none"/>
        </w:rPr>
      </w:pPr>
      <w:bookmarkStart w:id="12" w:name="_Toc23348"/>
      <w:bookmarkStart w:id="13" w:name="_Toc422380979"/>
      <w:bookmarkStart w:id="14" w:name="_Toc31258"/>
      <w:r>
        <w:rPr>
          <w:rFonts w:hint="eastAsia" w:cs="宋体"/>
          <w:b/>
          <w:bCs/>
          <w:sz w:val="24"/>
          <w:szCs w:val="24"/>
          <w:highlight w:val="none"/>
        </w:rPr>
        <w:t>一、联合经营时间、地点</w:t>
      </w:r>
      <w:bookmarkEnd w:id="12"/>
      <w:bookmarkEnd w:id="13"/>
      <w:bookmarkEnd w:id="14"/>
    </w:p>
    <w:p>
      <w:pPr>
        <w:spacing w:line="276" w:lineRule="auto"/>
        <w:ind w:firstLine="482" w:firstLineChars="200"/>
        <w:rPr>
          <w:rFonts w:ascii="宋体" w:hAnsi="宋体" w:eastAsia="宋体" w:cs="宋体"/>
          <w:sz w:val="24"/>
          <w:szCs w:val="24"/>
          <w:highlight w:val="none"/>
        </w:rPr>
      </w:pPr>
      <w:r>
        <w:rPr>
          <w:rFonts w:hint="eastAsia" w:ascii="宋体" w:hAnsi="宋体" w:eastAsia="宋体" w:cs="宋体"/>
          <w:b/>
          <w:bCs/>
          <w:sz w:val="24"/>
          <w:szCs w:val="24"/>
          <w:highlight w:val="none"/>
        </w:rPr>
        <w:t>（一）联合经营时间</w:t>
      </w:r>
      <w:r>
        <w:rPr>
          <w:rFonts w:hint="eastAsia" w:ascii="宋体" w:hAnsi="宋体" w:eastAsia="宋体" w:cs="宋体"/>
          <w:sz w:val="24"/>
          <w:szCs w:val="24"/>
          <w:highlight w:val="none"/>
        </w:rPr>
        <w:t>：2025年8月25日起至2030年春季学期结束。</w:t>
      </w:r>
    </w:p>
    <w:p>
      <w:pPr>
        <w:spacing w:line="276" w:lineRule="auto"/>
        <w:ind w:firstLine="482" w:firstLineChars="200"/>
        <w:rPr>
          <w:rFonts w:ascii="宋体" w:hAnsi="宋体" w:eastAsia="宋体" w:cs="宋体"/>
          <w:sz w:val="24"/>
          <w:szCs w:val="24"/>
          <w:highlight w:val="none"/>
        </w:rPr>
      </w:pPr>
      <w:r>
        <w:rPr>
          <w:rFonts w:hint="eastAsia" w:ascii="宋体" w:hAnsi="宋体" w:eastAsia="宋体" w:cs="宋体"/>
          <w:b/>
          <w:bCs/>
          <w:sz w:val="24"/>
          <w:szCs w:val="24"/>
          <w:highlight w:val="none"/>
        </w:rPr>
        <w:t>（二）联合经营地点</w:t>
      </w:r>
      <w:r>
        <w:rPr>
          <w:rFonts w:hint="eastAsia" w:ascii="宋体" w:hAnsi="宋体" w:eastAsia="宋体" w:cs="宋体"/>
          <w:sz w:val="24"/>
          <w:szCs w:val="24"/>
          <w:highlight w:val="none"/>
        </w:rPr>
        <w:t>：四川外国语大学东区学生食堂</w:t>
      </w:r>
    </w:p>
    <w:p>
      <w:pPr>
        <w:spacing w:line="276" w:lineRule="auto"/>
        <w:ind w:firstLine="482" w:firstLineChars="200"/>
        <w:rPr>
          <w:rFonts w:ascii="宋体" w:hAnsi="宋体" w:eastAsia="宋体" w:cs="宋体"/>
          <w:b/>
          <w:bCs/>
          <w:sz w:val="24"/>
          <w:szCs w:val="24"/>
          <w:highlight w:val="none"/>
        </w:rPr>
      </w:pPr>
      <w:bookmarkStart w:id="15" w:name="_Toc422380980"/>
      <w:bookmarkStart w:id="16" w:name="_Toc8501"/>
      <w:bookmarkStart w:id="17" w:name="_Toc28127"/>
      <w:r>
        <w:rPr>
          <w:rFonts w:hint="eastAsia" w:ascii="宋体" w:hAnsi="宋体" w:eastAsia="宋体" w:cs="宋体"/>
          <w:b/>
          <w:bCs/>
          <w:sz w:val="24"/>
          <w:szCs w:val="24"/>
          <w:highlight w:val="none"/>
        </w:rPr>
        <w:t>二、联合经营整体要求</w:t>
      </w:r>
      <w:bookmarkEnd w:id="15"/>
      <w:bookmarkEnd w:id="16"/>
      <w:bookmarkEnd w:id="17"/>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w:t>
      </w:r>
      <w:r>
        <w:rPr>
          <w:rFonts w:hint="eastAsia" w:ascii="宋体" w:hAnsi="宋体" w:eastAsia="宋体" w:cs="宋体"/>
          <w:sz w:val="24"/>
          <w:szCs w:val="24"/>
          <w:highlight w:val="none"/>
        </w:rPr>
        <w:t>本项目实施</w:t>
      </w:r>
      <w:r>
        <w:rPr>
          <w:rFonts w:ascii="宋体" w:hAnsi="宋体" w:eastAsia="宋体" w:cs="宋体"/>
          <w:sz w:val="24"/>
          <w:szCs w:val="24"/>
          <w:highlight w:val="none"/>
        </w:rPr>
        <w:t>“零租赁”,不收取食堂管理费，水、电、气费等其它经营产生费用</w:t>
      </w:r>
      <w:r>
        <w:rPr>
          <w:rFonts w:hint="eastAsia" w:ascii="宋体" w:hAnsi="宋体" w:eastAsia="宋体" w:cs="宋体"/>
          <w:sz w:val="24"/>
          <w:szCs w:val="24"/>
          <w:highlight w:val="none"/>
        </w:rPr>
        <w:t>由成交人</w:t>
      </w:r>
      <w:r>
        <w:rPr>
          <w:rFonts w:ascii="宋体" w:hAnsi="宋体" w:eastAsia="宋体" w:cs="宋体"/>
          <w:sz w:val="24"/>
          <w:szCs w:val="24"/>
          <w:highlight w:val="none"/>
        </w:rPr>
        <w:t>自理。成交人需结合经营场地的实际情况、四川外国语大学特色以及学校内涵，提供食堂环境改善方案。学校每月按月营业收入的</w:t>
      </w:r>
      <w:r>
        <w:rPr>
          <w:rFonts w:ascii="宋体" w:hAnsi="宋体" w:eastAsia="宋体"/>
          <w:sz w:val="24"/>
          <w:szCs w:val="28"/>
          <w:highlight w:val="none"/>
        </w:rPr>
        <w:t>3‰</w:t>
      </w:r>
      <w:r>
        <w:rPr>
          <w:rFonts w:ascii="宋体" w:hAnsi="宋体" w:eastAsia="宋体" w:cs="宋体"/>
          <w:sz w:val="24"/>
          <w:szCs w:val="24"/>
          <w:highlight w:val="none"/>
        </w:rPr>
        <w:t>收取餐饮公司一卡通使用维护费用。</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2.月投料率。月投料率不得低于50%。</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月投料率</w:t>
      </w:r>
      <w:r>
        <w:rPr>
          <w:rFonts w:ascii="宋体" w:hAnsi="宋体" w:eastAsia="宋体" w:cs="宋体"/>
          <w:sz w:val="24"/>
          <w:szCs w:val="24"/>
          <w:highlight w:val="none"/>
        </w:rPr>
        <w:t>=（月主辅料和调料总成本/月营业收入）×100%</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学校按月查验核实成交人的投料率情况。</w:t>
      </w:r>
    </w:p>
    <w:p>
      <w:pPr>
        <w:numPr>
          <w:ilvl w:val="0"/>
          <w:numId w:val="18"/>
        </w:numPr>
        <w:spacing w:line="276" w:lineRule="auto"/>
        <w:ind w:firstLine="480" w:firstLineChars="200"/>
        <w:rPr>
          <w:rFonts w:hint="eastAsia" w:ascii="宋体" w:hAnsi="宋体" w:eastAsia="宋体" w:cs="宋体"/>
          <w:sz w:val="24"/>
          <w:szCs w:val="24"/>
          <w:highlight w:val="none"/>
          <w:lang w:val="en-US" w:eastAsia="zh-CN"/>
        </w:rPr>
      </w:pPr>
      <w:r>
        <w:rPr>
          <w:rFonts w:ascii="宋体" w:hAnsi="宋体" w:eastAsia="宋体" w:cs="宋体"/>
          <w:sz w:val="24"/>
          <w:szCs w:val="24"/>
          <w:highlight w:val="none"/>
        </w:rPr>
        <w:t>合同期满，成交人投入中可移动的设施设备，成交人可自行处置（现场垃圾及废品、废物须由成交人负责处置并打扫清理干净），但不得损坏现有不可移动的设施设备，学校无义务回收或转让。成交人投入的装修装饰和管网、电线、消防设施等无偿归学校所有，成交人不得破坏。学校投入的设施设备由成交人与学校食堂监管部门进行清点并完善移交签字手续。</w:t>
      </w:r>
      <w:r>
        <w:rPr>
          <w:rFonts w:hint="eastAsia" w:ascii="宋体" w:hAnsi="宋体" w:eastAsia="宋体" w:cs="宋体"/>
          <w:sz w:val="24"/>
          <w:szCs w:val="24"/>
          <w:highlight w:val="none"/>
          <w:lang w:val="en-US" w:eastAsia="zh-CN"/>
        </w:rPr>
        <w:t xml:space="preserve">  </w:t>
      </w:r>
    </w:p>
    <w:p>
      <w:pPr>
        <w:numPr>
          <w:ilvl w:val="-1"/>
          <w:numId w:val="0"/>
        </w:num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4.</w:t>
      </w:r>
      <w:r>
        <w:rPr>
          <w:rFonts w:hint="eastAsia" w:ascii="宋体" w:hAnsi="宋体" w:eastAsia="宋体" w:cs="宋体"/>
          <w:sz w:val="24"/>
          <w:szCs w:val="24"/>
          <w:highlight w:val="none"/>
        </w:rPr>
        <w:t>业态要求：</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4.</w:t>
      </w:r>
      <w:r>
        <w:rPr>
          <w:rFonts w:hint="eastAsia" w:ascii="宋体" w:hAnsi="宋体" w:eastAsia="宋体" w:cs="宋体"/>
          <w:sz w:val="24"/>
          <w:szCs w:val="24"/>
          <w:highlight w:val="none"/>
        </w:rPr>
        <w:t>1食堂定位：</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4.1.1东区学生食堂定位是以学生用餐基础保障为主，同时兼具社区服务功能。食堂一楼以特色风味餐为主，食堂二楼以基本大伙套餐、面点白案、中餐自助档口为主，保证有符合中老年人饮食习惯的 “社区食堂窗口”。食堂必须保证有一个面积大小合理、窗口独立的民族特色窗口；同时在食堂二楼要设置“三全育人区”（即劳动育人区）。</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4.</w:t>
      </w:r>
      <w:r>
        <w:rPr>
          <w:rFonts w:hint="eastAsia" w:ascii="宋体" w:hAnsi="宋体" w:eastAsia="宋体" w:cs="宋体"/>
          <w:sz w:val="24"/>
          <w:szCs w:val="24"/>
          <w:highlight w:val="none"/>
        </w:rPr>
        <w:t>2</w:t>
      </w:r>
      <w:r>
        <w:rPr>
          <w:rFonts w:ascii="宋体" w:hAnsi="宋体" w:eastAsia="宋体" w:cs="宋体"/>
          <w:sz w:val="24"/>
          <w:szCs w:val="24"/>
          <w:highlight w:val="none"/>
        </w:rPr>
        <w:t xml:space="preserve"> </w:t>
      </w:r>
      <w:r>
        <w:rPr>
          <w:rFonts w:hint="eastAsia" w:ascii="宋体" w:hAnsi="宋体" w:eastAsia="宋体" w:cs="宋体"/>
          <w:sz w:val="24"/>
          <w:szCs w:val="24"/>
          <w:highlight w:val="none"/>
        </w:rPr>
        <w:t>座位个数。东区学生食堂餐桌椅座位数不低于</w:t>
      </w:r>
      <w:r>
        <w:rPr>
          <w:rFonts w:ascii="宋体" w:hAnsi="宋体" w:eastAsia="宋体" w:cs="宋体"/>
          <w:sz w:val="24"/>
          <w:szCs w:val="24"/>
          <w:highlight w:val="none"/>
        </w:rPr>
        <w:t>900</w:t>
      </w:r>
      <w:r>
        <w:rPr>
          <w:rFonts w:hint="eastAsia" w:ascii="宋体" w:hAnsi="宋体" w:eastAsia="宋体" w:cs="宋体"/>
          <w:sz w:val="24"/>
          <w:szCs w:val="24"/>
          <w:highlight w:val="none"/>
        </w:rPr>
        <w:t>个。</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5.</w:t>
      </w:r>
      <w:r>
        <w:rPr>
          <w:rFonts w:hint="eastAsia" w:ascii="宋体" w:hAnsi="宋体" w:eastAsia="宋体" w:cs="宋体"/>
          <w:sz w:val="24"/>
          <w:szCs w:val="24"/>
          <w:highlight w:val="none"/>
        </w:rPr>
        <w:t>监督管理。</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须服从学校现有的以及学校不断完善和新增的各项管理制度、规范及考核办法，并按照考核结果和考核意见进行整改落实。考核分为日常考核、年考核，具体考核内容按考核办法执行。</w:t>
      </w:r>
    </w:p>
    <w:p>
      <w:pPr>
        <w:spacing w:line="276"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.东区学生食堂的用电负荷，断路器控制在约875安以内，实际情况以现场为准。</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7</w:t>
      </w:r>
      <w:r>
        <w:rPr>
          <w:rFonts w:hint="eastAsia" w:ascii="宋体" w:hAnsi="宋体" w:eastAsia="宋体" w:cs="宋体"/>
          <w:sz w:val="24"/>
          <w:szCs w:val="24"/>
          <w:highlight w:val="none"/>
        </w:rPr>
        <w:t>.经营服务时间：2025年8月25日起至2030年春季学期结束，且</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须服从学校关于寒暑假期间留校师生正常伙食供应的值班工作安排，保证寒暑假期间师生的正常供餐。</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8</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基础大伙餐应该充分体现高校学生食堂的公益性要求。成交人</w:t>
      </w:r>
      <w:r>
        <w:rPr>
          <w:rFonts w:hint="eastAsia" w:ascii="宋体" w:hAnsi="宋体" w:eastAsia="宋体" w:cs="宋体"/>
          <w:sz w:val="24"/>
          <w:szCs w:val="24"/>
          <w:highlight w:val="none"/>
        </w:rPr>
        <w:t xml:space="preserve">应充分考虑大多数学生的经济承受能力，严格执行学校和行业的相关规定控制饭菜质量和价格。合理设置基本大伙档口（成交人必须设置明确标识），原则上基本大伙档口数量应符合上级主管部门和行业协会有关要求，确保学生基本伙食需要。 </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8</w:t>
      </w:r>
      <w:r>
        <w:rPr>
          <w:rFonts w:hint="eastAsia" w:ascii="宋体" w:hAnsi="宋体" w:eastAsia="宋体" w:cs="宋体"/>
          <w:sz w:val="24"/>
          <w:szCs w:val="24"/>
          <w:highlight w:val="none"/>
        </w:rPr>
        <w:t>.1基本大伙菜品种类和份量须满足学生用餐的实际需求。针对基本大伙菜价管理，暂定执行以下要求：</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8</w:t>
      </w:r>
      <w:r>
        <w:rPr>
          <w:rFonts w:ascii="宋体" w:hAnsi="宋体" w:eastAsia="宋体" w:cs="宋体"/>
          <w:sz w:val="24"/>
          <w:szCs w:val="24"/>
          <w:highlight w:val="none"/>
        </w:rPr>
        <w:t>.1.1</w:t>
      </w:r>
      <w:r>
        <w:rPr>
          <w:rFonts w:hint="eastAsia" w:ascii="宋体" w:hAnsi="宋体" w:eastAsia="宋体" w:cs="宋体"/>
          <w:sz w:val="24"/>
          <w:szCs w:val="24"/>
          <w:highlight w:val="none"/>
        </w:rPr>
        <w:t>所有菜品的出品量、荤素比、售卖价，采取报批制，严格按照</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上报的数据对照执行。每周上报下周菜单，每天必须将当日与次日菜单以电子屏幕公示。</w:t>
      </w:r>
    </w:p>
    <w:p>
      <w:pPr>
        <w:spacing w:line="276" w:lineRule="auto"/>
        <w:ind w:firstLine="480" w:firstLineChars="200"/>
        <w:rPr>
          <w:rFonts w:ascii="宋体" w:hAnsi="宋体" w:eastAsia="宋体" w:cs="仿宋"/>
          <w:sz w:val="24"/>
          <w:szCs w:val="24"/>
          <w:highlight w:val="none"/>
        </w:rPr>
      </w:pPr>
      <w:r>
        <w:rPr>
          <w:rFonts w:hint="eastAsia" w:ascii="宋体" w:hAnsi="宋体" w:eastAsia="宋体" w:cs="仿宋"/>
          <w:sz w:val="24"/>
          <w:szCs w:val="24"/>
          <w:highlight w:val="none"/>
        </w:rPr>
        <w:t>8</w:t>
      </w:r>
      <w:r>
        <w:rPr>
          <w:rFonts w:ascii="宋体" w:hAnsi="宋体" w:eastAsia="宋体" w:cs="仿宋"/>
          <w:sz w:val="24"/>
          <w:szCs w:val="24"/>
          <w:highlight w:val="none"/>
        </w:rPr>
        <w:t>.1.</w:t>
      </w:r>
      <w:r>
        <w:rPr>
          <w:rFonts w:hint="eastAsia" w:ascii="宋体" w:hAnsi="宋体" w:eastAsia="宋体" w:cs="仿宋"/>
          <w:sz w:val="24"/>
          <w:szCs w:val="24"/>
          <w:highlight w:val="none"/>
        </w:rPr>
        <w:t>2常规早餐类食品价格、品质的基本要求：</w:t>
      </w:r>
    </w:p>
    <w:tbl>
      <w:tblPr>
        <w:tblStyle w:val="33"/>
        <w:tblW w:w="7231" w:type="dxa"/>
        <w:tblInd w:w="447" w:type="dxa"/>
        <w:tblLayout w:type="fixed"/>
        <w:tblCellMar>
          <w:top w:w="0" w:type="dxa"/>
          <w:left w:w="108" w:type="dxa"/>
          <w:bottom w:w="0" w:type="dxa"/>
          <w:right w:w="108" w:type="dxa"/>
        </w:tblCellMar>
      </w:tblPr>
      <w:tblGrid>
        <w:gridCol w:w="1526"/>
        <w:gridCol w:w="1701"/>
        <w:gridCol w:w="1537"/>
        <w:gridCol w:w="2467"/>
      </w:tblGrid>
      <w:tr>
        <w:tblPrEx>
          <w:tblCellMar>
            <w:top w:w="0" w:type="dxa"/>
            <w:left w:w="108" w:type="dxa"/>
            <w:bottom w:w="0" w:type="dxa"/>
            <w:right w:w="108" w:type="dxa"/>
          </w:tblCellMar>
        </w:tblPrEx>
        <w:trPr>
          <w:trHeight w:val="383" w:hRule="atLeast"/>
        </w:trPr>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品类</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售价（元）</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firstLineChars="200"/>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单位</w:t>
            </w:r>
          </w:p>
        </w:tc>
        <w:tc>
          <w:tcPr>
            <w:tcW w:w="2467"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276" w:lineRule="auto"/>
              <w:ind w:firstLine="720" w:firstLineChars="300"/>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分量要求</w:t>
            </w:r>
          </w:p>
        </w:tc>
      </w:tr>
      <w:tr>
        <w:tblPrEx>
          <w:tblCellMar>
            <w:top w:w="0" w:type="dxa"/>
            <w:left w:w="108" w:type="dxa"/>
            <w:bottom w:w="0" w:type="dxa"/>
            <w:right w:w="108" w:type="dxa"/>
          </w:tblCellMar>
        </w:tblPrEx>
        <w:trPr>
          <w:trHeight w:val="365" w:hRule="atLeast"/>
        </w:trPr>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白馒头</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0.6</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个</w:t>
            </w:r>
          </w:p>
        </w:tc>
        <w:tc>
          <w:tcPr>
            <w:tcW w:w="2467"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276" w:lineRule="auto"/>
              <w:ind w:firstLine="480"/>
              <w:jc w:val="left"/>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熟重130克</w:t>
            </w:r>
          </w:p>
        </w:tc>
      </w:tr>
      <w:tr>
        <w:tblPrEx>
          <w:tblCellMar>
            <w:top w:w="0" w:type="dxa"/>
            <w:left w:w="108" w:type="dxa"/>
            <w:bottom w:w="0" w:type="dxa"/>
            <w:right w:w="108" w:type="dxa"/>
          </w:tblCellMar>
        </w:tblPrEx>
        <w:trPr>
          <w:trHeight w:val="361" w:hRule="atLeast"/>
        </w:trPr>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白水蛋</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1</w:t>
            </w:r>
            <w:r>
              <w:rPr>
                <w:rFonts w:ascii="宋体" w:hAnsi="宋体" w:eastAsia="宋体" w:cs="宋体"/>
                <w:kern w:val="0"/>
                <w:sz w:val="24"/>
                <w:szCs w:val="24"/>
                <w:highlight w:val="none"/>
                <w:lang w:bidi="ar"/>
              </w:rPr>
              <w:t>.0</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个</w:t>
            </w:r>
          </w:p>
        </w:tc>
        <w:tc>
          <w:tcPr>
            <w:tcW w:w="2467"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276" w:lineRule="auto"/>
              <w:ind w:firstLine="480"/>
              <w:jc w:val="left"/>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熟重60克</w:t>
            </w:r>
          </w:p>
        </w:tc>
      </w:tr>
      <w:tr>
        <w:tblPrEx>
          <w:tblCellMar>
            <w:top w:w="0" w:type="dxa"/>
            <w:left w:w="108" w:type="dxa"/>
            <w:bottom w:w="0" w:type="dxa"/>
            <w:right w:w="108" w:type="dxa"/>
          </w:tblCellMar>
        </w:tblPrEx>
        <w:trPr>
          <w:trHeight w:val="361" w:hRule="atLeast"/>
        </w:trPr>
        <w:tc>
          <w:tcPr>
            <w:tcW w:w="1526"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鲜肉包</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0.8</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76" w:lineRule="auto"/>
              <w:ind w:firstLine="480"/>
              <w:rPr>
                <w:rFonts w:ascii="宋体" w:hAnsi="宋体" w:eastAsia="宋体" w:cs="宋体"/>
                <w:sz w:val="24"/>
                <w:szCs w:val="24"/>
                <w:highlight w:val="none"/>
              </w:rPr>
            </w:pPr>
            <w:r>
              <w:rPr>
                <w:rFonts w:hint="eastAsia" w:ascii="宋体" w:hAnsi="宋体" w:eastAsia="宋体" w:cs="宋体"/>
                <w:sz w:val="24"/>
                <w:szCs w:val="24"/>
                <w:highlight w:val="none"/>
              </w:rPr>
              <w:t>个</w:t>
            </w:r>
          </w:p>
        </w:tc>
        <w:tc>
          <w:tcPr>
            <w:tcW w:w="2467" w:type="dxa"/>
            <w:tcBorders>
              <w:top w:val="single" w:color="000000" w:sz="4" w:space="0"/>
              <w:left w:val="single" w:color="000000" w:sz="4" w:space="0"/>
              <w:bottom w:val="single" w:color="000000" w:sz="4" w:space="0"/>
              <w:right w:val="single" w:color="000000" w:sz="4" w:space="0"/>
            </w:tcBorders>
          </w:tcPr>
          <w:p>
            <w:pPr>
              <w:adjustRightInd w:val="0"/>
              <w:snapToGrid w:val="0"/>
              <w:spacing w:line="276"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熟重140克，其中肉馅30克以上，皮80克</w:t>
            </w:r>
          </w:p>
        </w:tc>
      </w:tr>
      <w:tr>
        <w:tblPrEx>
          <w:tblCellMar>
            <w:top w:w="0" w:type="dxa"/>
            <w:left w:w="108" w:type="dxa"/>
            <w:bottom w:w="0" w:type="dxa"/>
            <w:right w:w="108" w:type="dxa"/>
          </w:tblCellMar>
        </w:tblPrEx>
        <w:trPr>
          <w:trHeight w:val="361" w:hRule="atLeast"/>
        </w:trPr>
        <w:tc>
          <w:tcPr>
            <w:tcW w:w="1526"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油条</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w:t>
            </w:r>
            <w:r>
              <w:rPr>
                <w:rFonts w:hint="eastAsia" w:ascii="宋体" w:hAnsi="宋体" w:eastAsia="宋体" w:cs="宋体"/>
                <w:sz w:val="24"/>
                <w:szCs w:val="24"/>
                <w:highlight w:val="none"/>
              </w:rPr>
              <w:t>8</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76" w:lineRule="auto"/>
              <w:ind w:firstLine="480"/>
              <w:rPr>
                <w:rFonts w:ascii="宋体" w:hAnsi="宋体" w:eastAsia="宋体" w:cs="宋体"/>
                <w:sz w:val="24"/>
                <w:szCs w:val="24"/>
                <w:highlight w:val="none"/>
              </w:rPr>
            </w:pPr>
            <w:r>
              <w:rPr>
                <w:rFonts w:hint="eastAsia" w:ascii="宋体" w:hAnsi="宋体" w:eastAsia="宋体" w:cs="宋体"/>
                <w:sz w:val="24"/>
                <w:szCs w:val="24"/>
                <w:highlight w:val="none"/>
              </w:rPr>
              <w:t>根</w:t>
            </w:r>
          </w:p>
        </w:tc>
        <w:tc>
          <w:tcPr>
            <w:tcW w:w="2467" w:type="dxa"/>
            <w:tcBorders>
              <w:top w:val="single" w:color="000000" w:sz="4" w:space="0"/>
              <w:left w:val="single" w:color="000000" w:sz="4" w:space="0"/>
              <w:bottom w:val="single" w:color="000000" w:sz="4" w:space="0"/>
              <w:right w:val="single" w:color="000000" w:sz="4" w:space="0"/>
            </w:tcBorders>
          </w:tcPr>
          <w:p>
            <w:pPr>
              <w:adjustRightInd w:val="0"/>
              <w:snapToGrid w:val="0"/>
              <w:spacing w:line="276" w:lineRule="auto"/>
              <w:ind w:firstLine="480" w:firstLineChars="200"/>
              <w:jc w:val="left"/>
              <w:rPr>
                <w:rFonts w:ascii="宋体" w:hAnsi="宋体" w:eastAsia="宋体" w:cs="宋体"/>
                <w:sz w:val="24"/>
                <w:szCs w:val="24"/>
                <w:highlight w:val="none"/>
              </w:rPr>
            </w:pPr>
            <w:r>
              <w:rPr>
                <w:rFonts w:hint="eastAsia" w:ascii="宋体" w:hAnsi="宋体" w:eastAsia="宋体" w:cs="宋体"/>
                <w:kern w:val="0"/>
                <w:sz w:val="24"/>
                <w:szCs w:val="24"/>
                <w:highlight w:val="none"/>
                <w:lang w:bidi="ar"/>
              </w:rPr>
              <w:t>熟重10</w:t>
            </w:r>
            <w:r>
              <w:rPr>
                <w:rFonts w:ascii="宋体" w:hAnsi="宋体" w:eastAsia="宋体" w:cs="宋体"/>
                <w:kern w:val="0"/>
                <w:sz w:val="24"/>
                <w:szCs w:val="24"/>
                <w:highlight w:val="none"/>
                <w:lang w:bidi="ar"/>
              </w:rPr>
              <w:t>0</w:t>
            </w:r>
            <w:r>
              <w:rPr>
                <w:rFonts w:hint="eastAsia" w:ascii="宋体" w:hAnsi="宋体" w:eastAsia="宋体" w:cs="宋体"/>
                <w:kern w:val="0"/>
                <w:sz w:val="24"/>
                <w:szCs w:val="24"/>
                <w:highlight w:val="none"/>
                <w:lang w:bidi="ar"/>
              </w:rPr>
              <w:t>克</w:t>
            </w:r>
          </w:p>
        </w:tc>
      </w:tr>
      <w:tr>
        <w:tblPrEx>
          <w:tblCellMar>
            <w:top w:w="0" w:type="dxa"/>
            <w:left w:w="108" w:type="dxa"/>
            <w:bottom w:w="0" w:type="dxa"/>
            <w:right w:w="108" w:type="dxa"/>
          </w:tblCellMar>
        </w:tblPrEx>
        <w:trPr>
          <w:trHeight w:val="361" w:hRule="atLeast"/>
        </w:trPr>
        <w:tc>
          <w:tcPr>
            <w:tcW w:w="1526"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花卷</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0</w:t>
            </w:r>
            <w:r>
              <w:rPr>
                <w:rFonts w:ascii="宋体" w:hAnsi="宋体" w:eastAsia="宋体" w:cs="宋体"/>
                <w:sz w:val="24"/>
                <w:szCs w:val="24"/>
                <w:highlight w:val="none"/>
              </w:rPr>
              <w:t>.6</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76" w:lineRule="auto"/>
              <w:ind w:firstLine="480"/>
              <w:rPr>
                <w:rFonts w:ascii="宋体" w:hAnsi="宋体" w:eastAsia="宋体" w:cs="宋体"/>
                <w:sz w:val="24"/>
                <w:szCs w:val="24"/>
                <w:highlight w:val="none"/>
              </w:rPr>
            </w:pPr>
            <w:r>
              <w:rPr>
                <w:rFonts w:hint="eastAsia" w:ascii="宋体" w:hAnsi="宋体" w:eastAsia="宋体" w:cs="宋体"/>
                <w:sz w:val="24"/>
                <w:szCs w:val="24"/>
                <w:highlight w:val="none"/>
              </w:rPr>
              <w:t>个</w:t>
            </w:r>
          </w:p>
        </w:tc>
        <w:tc>
          <w:tcPr>
            <w:tcW w:w="2467" w:type="dxa"/>
            <w:tcBorders>
              <w:top w:val="single" w:color="000000" w:sz="4" w:space="0"/>
              <w:left w:val="single" w:color="000000" w:sz="4" w:space="0"/>
              <w:bottom w:val="single" w:color="000000" w:sz="4" w:space="0"/>
              <w:right w:val="single" w:color="000000" w:sz="4" w:space="0"/>
            </w:tcBorders>
          </w:tcPr>
          <w:p>
            <w:pPr>
              <w:adjustRightInd w:val="0"/>
              <w:snapToGrid w:val="0"/>
              <w:spacing w:line="276" w:lineRule="auto"/>
              <w:ind w:firstLine="480" w:firstLineChars="200"/>
              <w:jc w:val="left"/>
              <w:rPr>
                <w:rFonts w:ascii="宋体" w:hAnsi="宋体" w:eastAsia="宋体" w:cs="宋体"/>
                <w:sz w:val="24"/>
                <w:szCs w:val="24"/>
                <w:highlight w:val="none"/>
              </w:rPr>
            </w:pPr>
            <w:r>
              <w:rPr>
                <w:rFonts w:hint="eastAsia" w:ascii="宋体" w:hAnsi="宋体" w:eastAsia="宋体" w:cs="宋体"/>
                <w:kern w:val="0"/>
                <w:sz w:val="24"/>
                <w:szCs w:val="24"/>
                <w:highlight w:val="none"/>
                <w:lang w:bidi="ar"/>
              </w:rPr>
              <w:t>熟重150克</w:t>
            </w:r>
          </w:p>
        </w:tc>
      </w:tr>
      <w:tr>
        <w:tblPrEx>
          <w:tblCellMar>
            <w:top w:w="0" w:type="dxa"/>
            <w:left w:w="108" w:type="dxa"/>
            <w:bottom w:w="0" w:type="dxa"/>
            <w:right w:w="108" w:type="dxa"/>
          </w:tblCellMar>
        </w:tblPrEx>
        <w:trPr>
          <w:trHeight w:val="361" w:hRule="atLeast"/>
        </w:trPr>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煎蛋</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 w:val="24"/>
                <w:szCs w:val="24"/>
                <w:highlight w:val="none"/>
              </w:rPr>
            </w:pPr>
            <w:r>
              <w:rPr>
                <w:rFonts w:ascii="宋体" w:hAnsi="宋体" w:eastAsia="宋体" w:cs="宋体"/>
                <w:kern w:val="0"/>
                <w:sz w:val="24"/>
                <w:szCs w:val="24"/>
                <w:highlight w:val="none"/>
                <w:lang w:bidi="ar"/>
              </w:rPr>
              <w:t>1.5</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个</w:t>
            </w:r>
          </w:p>
        </w:tc>
        <w:tc>
          <w:tcPr>
            <w:tcW w:w="2467"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276" w:lineRule="auto"/>
              <w:ind w:firstLine="480"/>
              <w:jc w:val="left"/>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熟重60克</w:t>
            </w:r>
          </w:p>
        </w:tc>
      </w:tr>
      <w:tr>
        <w:tblPrEx>
          <w:tblCellMar>
            <w:top w:w="0" w:type="dxa"/>
            <w:left w:w="108" w:type="dxa"/>
            <w:bottom w:w="0" w:type="dxa"/>
            <w:right w:w="108" w:type="dxa"/>
          </w:tblCellMar>
        </w:tblPrEx>
        <w:trPr>
          <w:trHeight w:val="361" w:hRule="atLeast"/>
        </w:trPr>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卤蛋</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1.</w:t>
            </w:r>
            <w:r>
              <w:rPr>
                <w:rFonts w:ascii="宋体" w:hAnsi="宋体" w:eastAsia="宋体" w:cs="宋体"/>
                <w:kern w:val="0"/>
                <w:sz w:val="24"/>
                <w:szCs w:val="24"/>
                <w:highlight w:val="none"/>
                <w:lang w:bidi="ar"/>
              </w:rPr>
              <w:t>0</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个</w:t>
            </w:r>
          </w:p>
        </w:tc>
        <w:tc>
          <w:tcPr>
            <w:tcW w:w="2467"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276" w:lineRule="auto"/>
              <w:ind w:firstLine="480"/>
              <w:jc w:val="left"/>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熟重60克</w:t>
            </w:r>
          </w:p>
        </w:tc>
      </w:tr>
      <w:tr>
        <w:tblPrEx>
          <w:tblCellMar>
            <w:top w:w="0" w:type="dxa"/>
            <w:left w:w="108" w:type="dxa"/>
            <w:bottom w:w="0" w:type="dxa"/>
            <w:right w:w="108" w:type="dxa"/>
          </w:tblCellMar>
        </w:tblPrEx>
        <w:trPr>
          <w:trHeight w:val="351" w:hRule="atLeast"/>
        </w:trPr>
        <w:tc>
          <w:tcPr>
            <w:tcW w:w="1526" w:type="dxa"/>
            <w:tcBorders>
              <w:top w:val="single" w:color="000000" w:sz="4" w:space="0"/>
              <w:left w:val="single" w:color="000000" w:sz="4" w:space="0"/>
              <w:bottom w:val="single" w:color="auto"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白粥</w:t>
            </w:r>
          </w:p>
        </w:tc>
        <w:tc>
          <w:tcPr>
            <w:tcW w:w="1701" w:type="dxa"/>
            <w:tcBorders>
              <w:top w:val="single" w:color="000000" w:sz="4" w:space="0"/>
              <w:left w:val="single" w:color="000000" w:sz="4" w:space="0"/>
              <w:bottom w:val="single" w:color="auto"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0.6</w:t>
            </w:r>
          </w:p>
        </w:tc>
        <w:tc>
          <w:tcPr>
            <w:tcW w:w="1537" w:type="dxa"/>
            <w:tcBorders>
              <w:top w:val="single" w:color="000000" w:sz="4" w:space="0"/>
              <w:left w:val="single" w:color="000000" w:sz="4" w:space="0"/>
              <w:bottom w:val="single" w:color="auto" w:sz="4" w:space="0"/>
              <w:right w:val="single" w:color="000000" w:sz="4" w:space="0"/>
            </w:tcBorders>
            <w:noWrap/>
            <w:vAlign w:val="center"/>
          </w:tcPr>
          <w:p>
            <w:pPr>
              <w:widowControl/>
              <w:adjustRightInd w:val="0"/>
              <w:snapToGrid w:val="0"/>
              <w:spacing w:line="276" w:lineRule="auto"/>
              <w:ind w:firstLine="480"/>
              <w:textAlignment w:val="center"/>
              <w:rPr>
                <w:rFonts w:ascii="宋体" w:hAnsi="宋体" w:eastAsia="宋体" w:cs="宋体"/>
                <w:sz w:val="24"/>
                <w:szCs w:val="24"/>
                <w:highlight w:val="none"/>
              </w:rPr>
            </w:pPr>
            <w:r>
              <w:rPr>
                <w:rFonts w:hint="eastAsia" w:ascii="宋体" w:hAnsi="宋体" w:eastAsia="宋体" w:cs="宋体"/>
                <w:sz w:val="24"/>
                <w:szCs w:val="24"/>
                <w:highlight w:val="none"/>
              </w:rPr>
              <w:t>碗</w:t>
            </w:r>
          </w:p>
        </w:tc>
        <w:tc>
          <w:tcPr>
            <w:tcW w:w="2467" w:type="dxa"/>
            <w:tcBorders>
              <w:top w:val="single" w:color="000000" w:sz="4" w:space="0"/>
              <w:left w:val="single" w:color="000000" w:sz="4" w:space="0"/>
              <w:bottom w:val="single" w:color="auto" w:sz="4" w:space="0"/>
              <w:right w:val="single" w:color="000000" w:sz="4" w:space="0"/>
            </w:tcBorders>
          </w:tcPr>
          <w:p>
            <w:pPr>
              <w:widowControl/>
              <w:adjustRightInd w:val="0"/>
              <w:snapToGrid w:val="0"/>
              <w:spacing w:line="276" w:lineRule="auto"/>
              <w:ind w:firstLine="480"/>
              <w:jc w:val="left"/>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≥330ml</w:t>
            </w:r>
          </w:p>
        </w:tc>
      </w:tr>
      <w:tr>
        <w:tblPrEx>
          <w:tblCellMar>
            <w:top w:w="0" w:type="dxa"/>
            <w:left w:w="108" w:type="dxa"/>
            <w:bottom w:w="0" w:type="dxa"/>
            <w:right w:w="108" w:type="dxa"/>
          </w:tblCellMar>
        </w:tblPrEx>
        <w:trPr>
          <w:trHeight w:val="351" w:hRule="atLeast"/>
        </w:trPr>
        <w:tc>
          <w:tcPr>
            <w:tcW w:w="1526"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泡菜</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textAlignment w:val="center"/>
              <w:rPr>
                <w:rFonts w:ascii="宋体" w:hAnsi="宋体" w:eastAsia="宋体" w:cs="宋体"/>
                <w:kern w:val="0"/>
                <w:sz w:val="24"/>
                <w:szCs w:val="24"/>
                <w:highlight w:val="none"/>
                <w:lang w:bidi="ar"/>
              </w:rPr>
            </w:pPr>
          </w:p>
        </w:tc>
        <w:tc>
          <w:tcPr>
            <w:tcW w:w="153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76" w:lineRule="auto"/>
              <w:ind w:firstLine="480"/>
              <w:textAlignment w:val="center"/>
              <w:rPr>
                <w:rFonts w:ascii="宋体" w:hAnsi="宋体" w:eastAsia="宋体" w:cs="宋体"/>
                <w:sz w:val="24"/>
                <w:szCs w:val="24"/>
                <w:highlight w:val="none"/>
              </w:rPr>
            </w:pPr>
          </w:p>
        </w:tc>
        <w:tc>
          <w:tcPr>
            <w:tcW w:w="2467"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ind w:firstLine="480"/>
              <w:jc w:val="left"/>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免费</w:t>
            </w:r>
          </w:p>
        </w:tc>
      </w:tr>
      <w:tr>
        <w:tblPrEx>
          <w:tblCellMar>
            <w:top w:w="0" w:type="dxa"/>
            <w:left w:w="108" w:type="dxa"/>
            <w:bottom w:w="0" w:type="dxa"/>
            <w:right w:w="108" w:type="dxa"/>
          </w:tblCellMar>
        </w:tblPrEx>
        <w:trPr>
          <w:trHeight w:val="357" w:hRule="atLeast"/>
        </w:trPr>
        <w:tc>
          <w:tcPr>
            <w:tcW w:w="1526"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小面</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rPr>
              <w:t>3</w:t>
            </w:r>
          </w:p>
        </w:tc>
        <w:tc>
          <w:tcPr>
            <w:tcW w:w="15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76" w:lineRule="auto"/>
              <w:ind w:firstLine="240" w:firstLineChars="100"/>
              <w:jc w:val="left"/>
              <w:textAlignment w:val="center"/>
              <w:rPr>
                <w:rFonts w:ascii="宋体" w:hAnsi="宋体" w:eastAsia="宋体" w:cs="宋体"/>
                <w:sz w:val="24"/>
                <w:szCs w:val="24"/>
                <w:highlight w:val="none"/>
              </w:rPr>
            </w:pPr>
            <w:r>
              <w:rPr>
                <w:rFonts w:hint="eastAsia" w:ascii="宋体" w:hAnsi="宋体" w:eastAsia="宋体" w:cs="宋体"/>
                <w:sz w:val="24"/>
                <w:szCs w:val="24"/>
                <w:highlight w:val="none"/>
              </w:rPr>
              <w:t>一两</w:t>
            </w:r>
          </w:p>
        </w:tc>
        <w:tc>
          <w:tcPr>
            <w:tcW w:w="2467" w:type="dxa"/>
            <w:vMerge w:val="restart"/>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left"/>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每餐适量配备辣椒油、食醋等自助调味品</w:t>
            </w:r>
          </w:p>
        </w:tc>
      </w:tr>
      <w:tr>
        <w:tblPrEx>
          <w:tblCellMar>
            <w:top w:w="0" w:type="dxa"/>
            <w:left w:w="108" w:type="dxa"/>
            <w:bottom w:w="0" w:type="dxa"/>
            <w:right w:w="108" w:type="dxa"/>
          </w:tblCellMar>
        </w:tblPrEx>
        <w:trPr>
          <w:trHeight w:val="376" w:hRule="atLeast"/>
        </w:trPr>
        <w:tc>
          <w:tcPr>
            <w:tcW w:w="1526"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76" w:lineRule="auto"/>
              <w:ind w:firstLine="480"/>
              <w:jc w:val="center"/>
              <w:rPr>
                <w:rFonts w:ascii="宋体" w:hAnsi="宋体" w:eastAsia="宋体" w:cs="宋体"/>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textAlignment w:val="center"/>
              <w:rPr>
                <w:rFonts w:ascii="宋体" w:hAnsi="宋体" w:eastAsia="宋体" w:cs="宋体"/>
                <w:sz w:val="24"/>
                <w:szCs w:val="24"/>
                <w:highlight w:val="none"/>
              </w:rPr>
            </w:pPr>
            <w:r>
              <w:rPr>
                <w:rFonts w:ascii="宋体" w:hAnsi="宋体" w:eastAsia="宋体" w:cs="宋体"/>
                <w:kern w:val="0"/>
                <w:sz w:val="24"/>
                <w:szCs w:val="24"/>
                <w:highlight w:val="none"/>
                <w:lang w:bidi="ar"/>
              </w:rPr>
              <w:t>4.</w:t>
            </w:r>
            <w:r>
              <w:rPr>
                <w:rFonts w:hint="eastAsia" w:ascii="宋体" w:hAnsi="宋体" w:eastAsia="宋体" w:cs="宋体"/>
                <w:kern w:val="0"/>
                <w:sz w:val="24"/>
                <w:szCs w:val="24"/>
                <w:highlight w:val="none"/>
                <w:lang w:bidi="ar"/>
              </w:rPr>
              <w:t>5</w:t>
            </w:r>
          </w:p>
        </w:tc>
        <w:tc>
          <w:tcPr>
            <w:tcW w:w="153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76" w:lineRule="auto"/>
              <w:ind w:firstLine="240" w:firstLineChars="100"/>
              <w:jc w:val="left"/>
              <w:textAlignment w:val="center"/>
              <w:rPr>
                <w:rFonts w:ascii="宋体" w:hAnsi="宋体" w:eastAsia="宋体" w:cs="宋体"/>
                <w:sz w:val="24"/>
                <w:szCs w:val="24"/>
                <w:highlight w:val="none"/>
              </w:rPr>
            </w:pPr>
            <w:r>
              <w:rPr>
                <w:rFonts w:hint="eastAsia" w:ascii="宋体" w:hAnsi="宋体" w:eastAsia="宋体" w:cs="宋体"/>
                <w:sz w:val="24"/>
                <w:szCs w:val="24"/>
                <w:highlight w:val="none"/>
              </w:rPr>
              <w:t>二两</w:t>
            </w:r>
          </w:p>
        </w:tc>
        <w:tc>
          <w:tcPr>
            <w:tcW w:w="2467" w:type="dxa"/>
            <w:vMerge w:val="continue"/>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ind w:firstLine="480"/>
              <w:jc w:val="center"/>
              <w:textAlignment w:val="center"/>
              <w:rPr>
                <w:rFonts w:ascii="宋体" w:hAnsi="宋体" w:eastAsia="宋体" w:cs="宋体"/>
                <w:kern w:val="0"/>
                <w:sz w:val="24"/>
                <w:szCs w:val="24"/>
                <w:highlight w:val="none"/>
                <w:lang w:bidi="ar"/>
              </w:rPr>
            </w:pPr>
          </w:p>
        </w:tc>
      </w:tr>
    </w:tbl>
    <w:p>
      <w:pPr>
        <w:spacing w:line="276" w:lineRule="auto"/>
        <w:ind w:left="178" w:leftChars="85" w:firstLine="240" w:firstLineChars="100"/>
        <w:rPr>
          <w:rFonts w:ascii="宋体" w:hAnsi="宋体" w:cs="仿宋"/>
          <w:sz w:val="24"/>
          <w:szCs w:val="24"/>
          <w:highlight w:val="none"/>
        </w:rPr>
      </w:pPr>
    </w:p>
    <w:p>
      <w:pPr>
        <w:spacing w:line="276" w:lineRule="auto"/>
        <w:ind w:left="178" w:leftChars="85" w:firstLine="240" w:firstLineChars="100"/>
        <w:rPr>
          <w:rFonts w:ascii="宋体" w:hAnsi="宋体" w:eastAsia="宋体" w:cs="仿宋"/>
          <w:sz w:val="24"/>
          <w:szCs w:val="24"/>
          <w:highlight w:val="none"/>
        </w:rPr>
      </w:pPr>
      <w:r>
        <w:rPr>
          <w:rFonts w:hint="eastAsia" w:ascii="宋体" w:hAnsi="宋体" w:eastAsia="宋体" w:cs="仿宋"/>
          <w:sz w:val="24"/>
          <w:szCs w:val="24"/>
          <w:highlight w:val="none"/>
        </w:rPr>
        <w:t>8.1.3基本大伙餐菜品品质的基本要求（其他同类菜品参照此比例执行）：</w:t>
      </w:r>
    </w:p>
    <w:tbl>
      <w:tblPr>
        <w:tblStyle w:val="33"/>
        <w:tblW w:w="0" w:type="auto"/>
        <w:tblInd w:w="557" w:type="dxa"/>
        <w:tblLayout w:type="fixed"/>
        <w:tblCellMar>
          <w:top w:w="0" w:type="dxa"/>
          <w:left w:w="108" w:type="dxa"/>
          <w:bottom w:w="0" w:type="dxa"/>
          <w:right w:w="108" w:type="dxa"/>
        </w:tblCellMar>
      </w:tblPr>
      <w:tblGrid>
        <w:gridCol w:w="1423"/>
        <w:gridCol w:w="1276"/>
        <w:gridCol w:w="1134"/>
        <w:gridCol w:w="1134"/>
        <w:gridCol w:w="1275"/>
        <w:gridCol w:w="1560"/>
      </w:tblGrid>
      <w:tr>
        <w:tblPrEx>
          <w:tblCellMar>
            <w:top w:w="0" w:type="dxa"/>
            <w:left w:w="108" w:type="dxa"/>
            <w:bottom w:w="0" w:type="dxa"/>
            <w:right w:w="108" w:type="dxa"/>
          </w:tblCellMar>
        </w:tblPrEx>
        <w:trPr>
          <w:trHeight w:val="383"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cs="宋体"/>
                <w:b/>
                <w:szCs w:val="24"/>
                <w:highlight w:val="none"/>
              </w:rPr>
            </w:pPr>
            <w:r>
              <w:rPr>
                <w:rFonts w:hint="eastAsia" w:ascii="宋体" w:hAnsi="宋体" w:cs="宋体"/>
                <w:b/>
                <w:kern w:val="0"/>
                <w:szCs w:val="24"/>
                <w:highlight w:val="none"/>
                <w:lang w:bidi="ar"/>
              </w:rPr>
              <w:t>品类（</w:t>
            </w:r>
            <w:r>
              <w:rPr>
                <w:rFonts w:ascii="宋体" w:hAnsi="宋体" w:cs="宋体"/>
                <w:b/>
                <w:kern w:val="0"/>
                <w:szCs w:val="24"/>
                <w:highlight w:val="none"/>
                <w:lang w:bidi="ar"/>
              </w:rPr>
              <w:t>荤菜）</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105" w:firstLineChars="50"/>
              <w:jc w:val="center"/>
              <w:textAlignment w:val="center"/>
              <w:rPr>
                <w:rFonts w:ascii="宋体" w:hAnsi="宋体" w:cs="宋体"/>
                <w:b/>
                <w:kern w:val="0"/>
                <w:szCs w:val="24"/>
                <w:highlight w:val="none"/>
                <w:lang w:bidi="ar"/>
              </w:rPr>
            </w:pPr>
            <w:r>
              <w:rPr>
                <w:rFonts w:hint="eastAsia" w:ascii="宋体" w:hAnsi="宋体" w:cs="宋体"/>
                <w:b/>
                <w:kern w:val="0"/>
                <w:szCs w:val="24"/>
                <w:highlight w:val="none"/>
                <w:lang w:bidi="ar"/>
              </w:rPr>
              <w:t>主料</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210" w:firstLineChars="100"/>
              <w:jc w:val="center"/>
              <w:textAlignment w:val="center"/>
              <w:rPr>
                <w:rFonts w:ascii="宋体" w:hAnsi="宋体" w:cs="宋体"/>
                <w:b/>
                <w:kern w:val="0"/>
                <w:szCs w:val="24"/>
                <w:highlight w:val="none"/>
                <w:lang w:bidi="ar"/>
              </w:rPr>
            </w:pPr>
            <w:r>
              <w:rPr>
                <w:rFonts w:hint="eastAsia" w:ascii="宋体" w:hAnsi="宋体" w:cs="宋体"/>
                <w:b/>
                <w:kern w:val="0"/>
                <w:szCs w:val="24"/>
                <w:highlight w:val="none"/>
                <w:lang w:bidi="ar"/>
              </w:rPr>
              <w:t>数量</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210" w:firstLineChars="100"/>
              <w:jc w:val="center"/>
              <w:textAlignment w:val="center"/>
              <w:rPr>
                <w:rFonts w:ascii="宋体" w:hAnsi="宋体" w:cs="宋体"/>
                <w:b/>
                <w:kern w:val="0"/>
                <w:szCs w:val="24"/>
                <w:highlight w:val="none"/>
                <w:lang w:bidi="ar"/>
              </w:rPr>
            </w:pPr>
            <w:r>
              <w:rPr>
                <w:rFonts w:hint="eastAsia" w:ascii="宋体" w:hAnsi="宋体" w:cs="宋体"/>
                <w:b/>
                <w:kern w:val="0"/>
                <w:szCs w:val="24"/>
                <w:highlight w:val="none"/>
                <w:lang w:bidi="ar"/>
              </w:rPr>
              <w:t>辅料</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cs="宋体"/>
                <w:b/>
                <w:szCs w:val="24"/>
                <w:highlight w:val="none"/>
              </w:rPr>
            </w:pPr>
            <w:r>
              <w:rPr>
                <w:rFonts w:hint="eastAsia" w:ascii="宋体" w:hAnsi="宋体" w:cs="宋体"/>
                <w:b/>
                <w:kern w:val="0"/>
                <w:szCs w:val="24"/>
                <w:highlight w:val="none"/>
                <w:lang w:bidi="ar"/>
              </w:rPr>
              <w:t>数量</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cs="宋体"/>
                <w:b/>
                <w:kern w:val="0"/>
                <w:szCs w:val="24"/>
                <w:highlight w:val="none"/>
                <w:lang w:bidi="ar"/>
              </w:rPr>
            </w:pPr>
            <w:r>
              <w:rPr>
                <w:rFonts w:hint="eastAsia" w:ascii="宋体" w:hAnsi="宋体" w:cs="宋体"/>
                <w:b/>
                <w:kern w:val="0"/>
                <w:szCs w:val="24"/>
                <w:highlight w:val="none"/>
                <w:lang w:bidi="ar"/>
              </w:rPr>
              <w:t>总</w:t>
            </w:r>
            <w:r>
              <w:rPr>
                <w:rFonts w:ascii="宋体" w:hAnsi="宋体" w:cs="宋体"/>
                <w:b/>
                <w:kern w:val="0"/>
                <w:szCs w:val="24"/>
                <w:highlight w:val="none"/>
                <w:lang w:bidi="ar"/>
              </w:rPr>
              <w:t>量</w:t>
            </w:r>
          </w:p>
        </w:tc>
      </w:tr>
      <w:tr>
        <w:tblPrEx>
          <w:tblCellMar>
            <w:top w:w="0" w:type="dxa"/>
            <w:left w:w="108" w:type="dxa"/>
            <w:bottom w:w="0" w:type="dxa"/>
            <w:right w:w="108" w:type="dxa"/>
          </w:tblCellMar>
        </w:tblPrEx>
        <w:trPr>
          <w:trHeight w:val="370"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Cs w:val="24"/>
                <w:highlight w:val="none"/>
              </w:rPr>
            </w:pPr>
            <w:r>
              <w:rPr>
                <w:rFonts w:hint="eastAsia" w:ascii="宋体" w:hAnsi="宋体" w:eastAsia="宋体" w:cs="宋体"/>
                <w:kern w:val="0"/>
                <w:szCs w:val="24"/>
                <w:highlight w:val="none"/>
                <w:lang w:bidi="ar"/>
              </w:rPr>
              <w:t>红烧肉</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鲜猪三线肉</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80克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黄豆</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Cs w:val="24"/>
                <w:highlight w:val="none"/>
              </w:rPr>
            </w:pPr>
            <w:r>
              <w:rPr>
                <w:rFonts w:ascii="宋体" w:hAnsi="宋体" w:eastAsia="宋体" w:cs="宋体"/>
                <w:szCs w:val="24"/>
                <w:highlight w:val="none"/>
              </w:rPr>
              <w:t>18</w:t>
            </w:r>
            <w:r>
              <w:rPr>
                <w:rFonts w:hint="eastAsia" w:ascii="宋体" w:hAnsi="宋体" w:eastAsia="宋体" w:cs="宋体"/>
                <w:szCs w:val="24"/>
                <w:highlight w:val="none"/>
              </w:rPr>
              <w:t>0克</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260克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Cs w:val="24"/>
                <w:highlight w:val="none"/>
              </w:rPr>
            </w:pPr>
            <w:r>
              <w:rPr>
                <w:rFonts w:hint="eastAsia" w:ascii="宋体" w:hAnsi="宋体" w:eastAsia="宋体" w:cs="宋体"/>
                <w:kern w:val="0"/>
                <w:szCs w:val="24"/>
                <w:highlight w:val="none"/>
                <w:lang w:bidi="ar"/>
              </w:rPr>
              <w:t>炒</w:t>
            </w:r>
            <w:r>
              <w:rPr>
                <w:rFonts w:ascii="宋体" w:hAnsi="宋体" w:eastAsia="宋体" w:cs="宋体"/>
                <w:kern w:val="0"/>
                <w:szCs w:val="24"/>
                <w:highlight w:val="none"/>
                <w:lang w:bidi="ar"/>
              </w:rPr>
              <w:t>猪肝</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鲜猪肝</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80克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菜</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Cs w:val="24"/>
                <w:highlight w:val="none"/>
              </w:rPr>
            </w:pPr>
            <w:r>
              <w:rPr>
                <w:rFonts w:hint="eastAsia" w:ascii="宋体" w:hAnsi="宋体" w:eastAsia="宋体" w:cs="宋体"/>
                <w:szCs w:val="24"/>
                <w:highlight w:val="none"/>
              </w:rPr>
              <w:t>80克</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160克</w:t>
            </w:r>
          </w:p>
        </w:tc>
      </w:tr>
      <w:tr>
        <w:tblPrEx>
          <w:tblCellMar>
            <w:top w:w="0" w:type="dxa"/>
            <w:left w:w="108" w:type="dxa"/>
            <w:bottom w:w="0" w:type="dxa"/>
            <w:right w:w="108" w:type="dxa"/>
          </w:tblCellMar>
        </w:tblPrEx>
        <w:trPr>
          <w:trHeight w:val="32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76" w:lineRule="auto"/>
              <w:jc w:val="center"/>
              <w:rPr>
                <w:rFonts w:ascii="宋体" w:hAnsi="宋体" w:eastAsia="宋体" w:cs="宋体"/>
                <w:szCs w:val="24"/>
                <w:highlight w:val="none"/>
              </w:rPr>
            </w:pPr>
            <w:r>
              <w:rPr>
                <w:rFonts w:hint="eastAsia" w:ascii="宋体" w:hAnsi="宋体" w:eastAsia="宋体" w:cs="宋体"/>
                <w:szCs w:val="24"/>
                <w:highlight w:val="none"/>
              </w:rPr>
              <w:t>土豆</w:t>
            </w:r>
            <w:r>
              <w:rPr>
                <w:rFonts w:ascii="宋体" w:hAnsi="宋体" w:eastAsia="宋体" w:cs="宋体"/>
                <w:szCs w:val="24"/>
                <w:highlight w:val="none"/>
              </w:rPr>
              <w:t>肉丝</w:t>
            </w:r>
          </w:p>
        </w:tc>
        <w:tc>
          <w:tcPr>
            <w:tcW w:w="127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宋体" w:hAnsi="宋体" w:eastAsia="宋体" w:cs="宋体"/>
                <w:szCs w:val="24"/>
                <w:highlight w:val="none"/>
              </w:rPr>
            </w:pPr>
            <w:r>
              <w:rPr>
                <w:rFonts w:hint="eastAsia" w:ascii="宋体" w:hAnsi="宋体" w:eastAsia="宋体" w:cs="宋体"/>
                <w:szCs w:val="24"/>
                <w:highlight w:val="none"/>
              </w:rPr>
              <w:t>猪肉丝</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宋体" w:hAnsi="宋体" w:eastAsia="宋体" w:cs="宋体"/>
                <w:szCs w:val="24"/>
                <w:highlight w:val="none"/>
              </w:rPr>
            </w:pPr>
            <w:r>
              <w:rPr>
                <w:rFonts w:hint="eastAsia" w:ascii="宋体" w:hAnsi="宋体" w:eastAsia="宋体" w:cs="宋体"/>
                <w:szCs w:val="24"/>
                <w:highlight w:val="none"/>
              </w:rPr>
              <w:t>80克</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宋体" w:hAnsi="宋体" w:eastAsia="宋体" w:cs="宋体"/>
                <w:szCs w:val="24"/>
                <w:highlight w:val="none"/>
              </w:rPr>
            </w:pPr>
            <w:r>
              <w:rPr>
                <w:rFonts w:hint="eastAsia" w:ascii="宋体" w:hAnsi="宋体" w:eastAsia="宋体" w:cs="宋体"/>
                <w:szCs w:val="24"/>
                <w:highlight w:val="none"/>
              </w:rPr>
              <w:t>土豆</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76" w:lineRule="auto"/>
              <w:jc w:val="center"/>
              <w:rPr>
                <w:rFonts w:ascii="宋体" w:hAnsi="宋体" w:eastAsia="宋体" w:cs="宋体"/>
                <w:szCs w:val="24"/>
                <w:highlight w:val="none"/>
              </w:rPr>
            </w:pPr>
            <w:r>
              <w:rPr>
                <w:rFonts w:hint="eastAsia" w:ascii="宋体" w:hAnsi="宋体" w:eastAsia="宋体" w:cs="宋体"/>
                <w:szCs w:val="24"/>
                <w:highlight w:val="none"/>
              </w:rPr>
              <w:t>120克</w:t>
            </w:r>
          </w:p>
        </w:tc>
        <w:tc>
          <w:tcPr>
            <w:tcW w:w="15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宋体" w:hAnsi="宋体" w:eastAsia="宋体" w:cs="宋体"/>
                <w:szCs w:val="24"/>
                <w:highlight w:val="none"/>
              </w:rPr>
            </w:pPr>
            <w:r>
              <w:rPr>
                <w:rFonts w:hint="eastAsia" w:ascii="宋体" w:hAnsi="宋体" w:eastAsia="宋体" w:cs="宋体"/>
                <w:szCs w:val="24"/>
                <w:highlight w:val="none"/>
              </w:rPr>
              <w:t>200克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76" w:lineRule="auto"/>
              <w:jc w:val="center"/>
              <w:rPr>
                <w:rFonts w:ascii="宋体" w:hAnsi="宋体" w:eastAsia="宋体" w:cs="宋体"/>
                <w:szCs w:val="24"/>
                <w:highlight w:val="none"/>
              </w:rPr>
            </w:pPr>
            <w:r>
              <w:rPr>
                <w:rFonts w:hint="eastAsia" w:ascii="宋体" w:hAnsi="宋体" w:eastAsia="宋体" w:cs="宋体"/>
                <w:szCs w:val="24"/>
                <w:highlight w:val="none"/>
              </w:rPr>
              <w:t>尖椒</w:t>
            </w:r>
            <w:r>
              <w:rPr>
                <w:rFonts w:ascii="宋体" w:hAnsi="宋体" w:eastAsia="宋体" w:cs="宋体"/>
                <w:szCs w:val="24"/>
                <w:highlight w:val="none"/>
              </w:rPr>
              <w:t>鸡丁</w:t>
            </w:r>
          </w:p>
        </w:tc>
        <w:tc>
          <w:tcPr>
            <w:tcW w:w="127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宋体" w:hAnsi="宋体" w:eastAsia="宋体" w:cs="宋体"/>
                <w:szCs w:val="24"/>
                <w:highlight w:val="none"/>
              </w:rPr>
            </w:pPr>
            <w:r>
              <w:rPr>
                <w:rFonts w:hint="eastAsia" w:ascii="宋体" w:hAnsi="宋体" w:eastAsia="宋体" w:cs="宋体"/>
                <w:szCs w:val="24"/>
                <w:highlight w:val="none"/>
              </w:rPr>
              <w:t>鸡丁</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宋体" w:hAnsi="宋体" w:eastAsia="宋体" w:cs="宋体"/>
                <w:szCs w:val="24"/>
                <w:highlight w:val="none"/>
              </w:rPr>
            </w:pPr>
            <w:r>
              <w:rPr>
                <w:rFonts w:hint="eastAsia" w:ascii="宋体" w:hAnsi="宋体" w:eastAsia="宋体" w:cs="宋体"/>
                <w:szCs w:val="24"/>
                <w:highlight w:val="none"/>
              </w:rPr>
              <w:t>80克</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宋体" w:hAnsi="宋体" w:eastAsia="宋体" w:cs="宋体"/>
                <w:szCs w:val="24"/>
                <w:highlight w:val="none"/>
              </w:rPr>
            </w:pPr>
            <w:r>
              <w:rPr>
                <w:rFonts w:hint="eastAsia" w:ascii="宋体" w:hAnsi="宋体" w:eastAsia="宋体" w:cs="宋体"/>
                <w:szCs w:val="24"/>
                <w:highlight w:val="none"/>
              </w:rPr>
              <w:t>尖椒</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76" w:lineRule="auto"/>
              <w:jc w:val="center"/>
              <w:rPr>
                <w:rFonts w:ascii="宋体" w:hAnsi="宋体" w:eastAsia="宋体" w:cs="宋体"/>
                <w:szCs w:val="24"/>
                <w:highlight w:val="none"/>
              </w:rPr>
            </w:pPr>
            <w:r>
              <w:rPr>
                <w:rFonts w:hint="eastAsia" w:ascii="宋体" w:hAnsi="宋体" w:eastAsia="宋体" w:cs="宋体"/>
                <w:szCs w:val="24"/>
                <w:highlight w:val="none"/>
              </w:rPr>
              <w:t>100克</w:t>
            </w:r>
          </w:p>
        </w:tc>
        <w:tc>
          <w:tcPr>
            <w:tcW w:w="15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180克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76" w:lineRule="auto"/>
              <w:jc w:val="center"/>
              <w:rPr>
                <w:rFonts w:ascii="宋体" w:hAnsi="宋体" w:eastAsia="宋体" w:cs="宋体"/>
                <w:szCs w:val="24"/>
                <w:highlight w:val="none"/>
              </w:rPr>
            </w:pPr>
            <w:r>
              <w:rPr>
                <w:rFonts w:hint="eastAsia" w:ascii="宋体" w:hAnsi="宋体" w:eastAsia="宋体" w:cs="宋体"/>
                <w:szCs w:val="24"/>
                <w:highlight w:val="none"/>
              </w:rPr>
              <w:t>烧白</w:t>
            </w:r>
          </w:p>
        </w:tc>
        <w:tc>
          <w:tcPr>
            <w:tcW w:w="127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宋体" w:hAnsi="宋体" w:eastAsia="宋体" w:cs="宋体"/>
                <w:szCs w:val="24"/>
                <w:highlight w:val="none"/>
              </w:rPr>
            </w:pPr>
            <w:r>
              <w:rPr>
                <w:rFonts w:hint="eastAsia" w:ascii="宋体" w:hAnsi="宋体" w:eastAsia="宋体" w:cs="宋体"/>
                <w:kern w:val="0"/>
                <w:szCs w:val="24"/>
                <w:highlight w:val="none"/>
                <w:lang w:bidi="ar"/>
              </w:rPr>
              <w:t>鲜猪三线肉</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宋体" w:hAnsi="宋体" w:eastAsia="宋体" w:cs="宋体"/>
                <w:szCs w:val="24"/>
                <w:highlight w:val="none"/>
              </w:rPr>
            </w:pPr>
            <w:r>
              <w:rPr>
                <w:rFonts w:hint="eastAsia" w:ascii="宋体" w:hAnsi="宋体" w:eastAsia="宋体" w:cs="宋体"/>
                <w:szCs w:val="24"/>
                <w:highlight w:val="none"/>
              </w:rPr>
              <w:t>80克</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宋体" w:hAnsi="宋体" w:eastAsia="宋体" w:cs="宋体"/>
                <w:szCs w:val="24"/>
                <w:highlight w:val="none"/>
              </w:rPr>
            </w:pPr>
            <w:r>
              <w:rPr>
                <w:rFonts w:hint="eastAsia" w:ascii="宋体" w:hAnsi="宋体" w:eastAsia="宋体" w:cs="宋体"/>
                <w:szCs w:val="24"/>
                <w:highlight w:val="none"/>
              </w:rPr>
              <w:t>芽菜</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76" w:lineRule="auto"/>
              <w:jc w:val="center"/>
              <w:rPr>
                <w:rFonts w:ascii="宋体" w:hAnsi="宋体" w:eastAsia="宋体" w:cs="宋体"/>
                <w:szCs w:val="24"/>
                <w:highlight w:val="none"/>
              </w:rPr>
            </w:pPr>
            <w:r>
              <w:rPr>
                <w:rFonts w:ascii="宋体" w:hAnsi="宋体" w:eastAsia="宋体" w:cs="宋体"/>
                <w:szCs w:val="24"/>
                <w:highlight w:val="none"/>
              </w:rPr>
              <w:t>9</w:t>
            </w:r>
            <w:r>
              <w:rPr>
                <w:rFonts w:hint="eastAsia" w:ascii="宋体" w:hAnsi="宋体" w:eastAsia="宋体" w:cs="宋体"/>
                <w:szCs w:val="24"/>
                <w:highlight w:val="none"/>
              </w:rPr>
              <w:t>0克</w:t>
            </w:r>
          </w:p>
        </w:tc>
        <w:tc>
          <w:tcPr>
            <w:tcW w:w="15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jc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170克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Cs w:val="24"/>
                <w:highlight w:val="none"/>
              </w:rPr>
            </w:pPr>
            <w:r>
              <w:rPr>
                <w:rFonts w:hint="eastAsia" w:ascii="宋体" w:hAnsi="宋体" w:eastAsia="宋体" w:cs="宋体"/>
                <w:kern w:val="0"/>
                <w:szCs w:val="24"/>
                <w:highlight w:val="none"/>
                <w:lang w:bidi="ar"/>
              </w:rPr>
              <w:t>香菇烧鸡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鸡肉</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80克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香菇</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Cs w:val="24"/>
                <w:highlight w:val="none"/>
              </w:rPr>
            </w:pPr>
            <w:r>
              <w:rPr>
                <w:rFonts w:hint="eastAsia" w:ascii="宋体" w:hAnsi="宋体" w:eastAsia="宋体" w:cs="宋体"/>
                <w:szCs w:val="24"/>
                <w:highlight w:val="none"/>
              </w:rPr>
              <w:t>100克</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180克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魔芋烧鸭</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鸭肉</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80克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魔芋</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90克</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170克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粉蒸</w:t>
            </w:r>
            <w:r>
              <w:rPr>
                <w:rFonts w:ascii="宋体" w:hAnsi="宋体" w:eastAsia="宋体" w:cs="宋体"/>
                <w:kern w:val="0"/>
                <w:szCs w:val="24"/>
                <w:highlight w:val="none"/>
                <w:lang w:bidi="ar"/>
              </w:rPr>
              <w:t>排骨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鲜猪排骨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120克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南瓜</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140克</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260克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卤鸡翅根</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鸡翅根（2个）</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90克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90克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黄瓜</w:t>
            </w:r>
            <w:r>
              <w:rPr>
                <w:rFonts w:ascii="宋体" w:hAnsi="宋体" w:eastAsia="宋体" w:cs="宋体"/>
                <w:kern w:val="0"/>
                <w:szCs w:val="24"/>
                <w:highlight w:val="none"/>
                <w:lang w:bidi="ar"/>
              </w:rPr>
              <w:t>炒肉片</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鲜猪肉片</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80克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黄瓜</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80克</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160克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肉沫</w:t>
            </w:r>
            <w:r>
              <w:rPr>
                <w:rFonts w:ascii="宋体" w:hAnsi="宋体" w:eastAsia="宋体" w:cs="宋体"/>
                <w:kern w:val="0"/>
                <w:szCs w:val="24"/>
                <w:highlight w:val="none"/>
                <w:lang w:bidi="ar"/>
              </w:rPr>
              <w:t>炒青豆</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鲜猪肉沫</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80克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青豆</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80克</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160克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肉丝</w:t>
            </w:r>
            <w:r>
              <w:rPr>
                <w:rFonts w:ascii="宋体" w:hAnsi="宋体" w:eastAsia="宋体" w:cs="宋体"/>
                <w:kern w:val="0"/>
                <w:szCs w:val="24"/>
                <w:highlight w:val="none"/>
                <w:lang w:bidi="ar"/>
              </w:rPr>
              <w:t>炒黄豆芽</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鲜猪肉丝</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80克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黄豆芽</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12</w:t>
            </w:r>
            <w:r>
              <w:rPr>
                <w:rFonts w:ascii="宋体" w:hAnsi="宋体" w:eastAsia="宋体" w:cs="宋体"/>
                <w:kern w:val="0"/>
                <w:szCs w:val="24"/>
                <w:highlight w:val="none"/>
                <w:lang w:bidi="ar"/>
              </w:rPr>
              <w:t>0</w:t>
            </w:r>
            <w:r>
              <w:rPr>
                <w:rFonts w:hint="eastAsia" w:ascii="宋体" w:hAnsi="宋体" w:eastAsia="宋体" w:cs="宋体"/>
                <w:kern w:val="0"/>
                <w:szCs w:val="24"/>
                <w:highlight w:val="none"/>
                <w:lang w:bidi="ar"/>
              </w:rPr>
              <w:t>克</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200克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番茄炒肉片</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鲜猪肉片</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80克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番茄</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ascii="宋体" w:hAnsi="宋体" w:eastAsia="宋体" w:cs="宋体"/>
                <w:kern w:val="0"/>
                <w:szCs w:val="24"/>
                <w:highlight w:val="none"/>
                <w:lang w:bidi="ar"/>
              </w:rPr>
              <w:t>8</w:t>
            </w:r>
            <w:r>
              <w:rPr>
                <w:rFonts w:hint="eastAsia" w:ascii="宋体" w:hAnsi="宋体" w:eastAsia="宋体" w:cs="宋体"/>
                <w:kern w:val="0"/>
                <w:szCs w:val="24"/>
                <w:highlight w:val="none"/>
                <w:lang w:bidi="ar"/>
              </w:rPr>
              <w:t>0克</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160克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土豆</w:t>
            </w:r>
            <w:r>
              <w:rPr>
                <w:rFonts w:ascii="宋体" w:hAnsi="宋体" w:eastAsia="宋体" w:cs="宋体"/>
                <w:kern w:val="0"/>
                <w:szCs w:val="24"/>
                <w:highlight w:val="none"/>
                <w:lang w:bidi="ar"/>
              </w:rPr>
              <w:t>烧丸子</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鲜猪肉沫</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80克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土豆</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ascii="宋体" w:hAnsi="宋体" w:eastAsia="宋体" w:cs="宋体"/>
                <w:kern w:val="0"/>
                <w:szCs w:val="24"/>
                <w:highlight w:val="none"/>
                <w:lang w:bidi="ar"/>
              </w:rPr>
              <w:t>9</w:t>
            </w:r>
            <w:r>
              <w:rPr>
                <w:rFonts w:hint="eastAsia" w:ascii="宋体" w:hAnsi="宋体" w:eastAsia="宋体" w:cs="宋体"/>
                <w:kern w:val="0"/>
                <w:szCs w:val="24"/>
                <w:highlight w:val="none"/>
                <w:lang w:bidi="ar"/>
              </w:rPr>
              <w:t>0克</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170克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蒸蛋</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鸡蛋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150克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cs="宋体"/>
                <w:kern w:val="0"/>
                <w:szCs w:val="24"/>
                <w:highlight w:val="none"/>
                <w:lang w:bidi="ar"/>
              </w:rPr>
            </w:pPr>
            <w:r>
              <w:rPr>
                <w:rFonts w:hint="eastAsia" w:ascii="宋体" w:hAnsi="宋体" w:cs="宋体"/>
                <w:b/>
                <w:kern w:val="0"/>
                <w:szCs w:val="24"/>
                <w:highlight w:val="none"/>
                <w:lang w:bidi="ar"/>
              </w:rPr>
              <w:t>品类（素菜</w:t>
            </w:r>
            <w:r>
              <w:rPr>
                <w:rFonts w:ascii="宋体" w:hAnsi="宋体" w:cs="宋体"/>
                <w:b/>
                <w:kern w:val="0"/>
                <w:szCs w:val="24"/>
                <w:highlight w:val="none"/>
                <w:lang w:bidi="ar"/>
              </w:rPr>
              <w:t>）</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cs="宋体"/>
                <w:kern w:val="0"/>
                <w:szCs w:val="24"/>
                <w:highlight w:val="none"/>
                <w:lang w:bidi="ar"/>
              </w:rPr>
            </w:pPr>
            <w:r>
              <w:rPr>
                <w:rFonts w:hint="eastAsia" w:ascii="宋体" w:hAnsi="宋体" w:cs="宋体"/>
                <w:b/>
                <w:kern w:val="0"/>
                <w:szCs w:val="24"/>
                <w:highlight w:val="none"/>
                <w:lang w:bidi="ar"/>
              </w:rPr>
              <w:t>原料</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cs="宋体"/>
                <w:kern w:val="0"/>
                <w:szCs w:val="24"/>
                <w:highlight w:val="none"/>
                <w:lang w:bidi="ar"/>
              </w:rPr>
            </w:pPr>
            <w:r>
              <w:rPr>
                <w:rFonts w:hint="eastAsia" w:ascii="宋体" w:hAnsi="宋体" w:cs="宋体"/>
                <w:b/>
                <w:kern w:val="0"/>
                <w:szCs w:val="24"/>
                <w:highlight w:val="none"/>
                <w:lang w:bidi="ar"/>
              </w:rPr>
              <w:t>数量</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cs="宋体"/>
                <w:kern w:val="0"/>
                <w:szCs w:val="24"/>
                <w:highlight w:val="none"/>
                <w:lang w:bidi="ar"/>
              </w:rPr>
            </w:pPr>
            <w:r>
              <w:rPr>
                <w:rFonts w:hint="eastAsia" w:ascii="宋体" w:hAnsi="宋体" w:cs="宋体"/>
                <w:b/>
                <w:kern w:val="0"/>
                <w:szCs w:val="24"/>
                <w:highlight w:val="none"/>
                <w:lang w:bidi="ar"/>
              </w:rPr>
              <w:t>辅料</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210" w:firstLineChars="100"/>
              <w:textAlignment w:val="center"/>
              <w:rPr>
                <w:rFonts w:ascii="宋体" w:hAnsi="宋体" w:cs="宋体"/>
                <w:kern w:val="0"/>
                <w:szCs w:val="24"/>
                <w:highlight w:val="none"/>
                <w:lang w:bidi="ar"/>
              </w:rPr>
            </w:pPr>
            <w:r>
              <w:rPr>
                <w:rFonts w:hint="eastAsia" w:ascii="宋体" w:hAnsi="宋体" w:cs="宋体"/>
                <w:b/>
                <w:kern w:val="0"/>
                <w:szCs w:val="24"/>
                <w:highlight w:val="none"/>
                <w:lang w:bidi="ar"/>
              </w:rPr>
              <w:t>数量</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cs="宋体"/>
                <w:kern w:val="0"/>
                <w:szCs w:val="24"/>
                <w:highlight w:val="none"/>
                <w:lang w:bidi="ar"/>
              </w:rPr>
            </w:pPr>
            <w:r>
              <w:rPr>
                <w:rFonts w:hint="eastAsia" w:ascii="宋体" w:hAnsi="宋体" w:cs="宋体"/>
                <w:b/>
                <w:kern w:val="0"/>
                <w:szCs w:val="24"/>
                <w:highlight w:val="none"/>
                <w:lang w:bidi="ar"/>
              </w:rPr>
              <w:t>总量</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炒</w:t>
            </w:r>
            <w:r>
              <w:rPr>
                <w:rFonts w:ascii="宋体" w:hAnsi="宋体" w:eastAsia="宋体" w:cs="宋体"/>
                <w:kern w:val="0"/>
                <w:szCs w:val="24"/>
                <w:highlight w:val="none"/>
                <w:lang w:bidi="ar"/>
              </w:rPr>
              <w:t>河粉</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河粉</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200克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20" w:firstLineChars="200"/>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200克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炒</w:t>
            </w:r>
            <w:r>
              <w:rPr>
                <w:rFonts w:ascii="宋体" w:hAnsi="宋体" w:eastAsia="宋体" w:cs="宋体"/>
                <w:kern w:val="0"/>
                <w:szCs w:val="24"/>
                <w:highlight w:val="none"/>
                <w:lang w:bidi="ar"/>
              </w:rPr>
              <w:t>土豆片</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土豆</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130克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20" w:firstLineChars="200"/>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130克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炒</w:t>
            </w:r>
            <w:r>
              <w:rPr>
                <w:rFonts w:ascii="宋体" w:hAnsi="宋体" w:eastAsia="宋体" w:cs="宋体"/>
                <w:kern w:val="0"/>
                <w:szCs w:val="24"/>
                <w:highlight w:val="none"/>
                <w:lang w:bidi="ar"/>
              </w:rPr>
              <w:t>胡豆</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胡豆</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140克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20" w:firstLineChars="200"/>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140克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红烧</w:t>
            </w:r>
            <w:r>
              <w:rPr>
                <w:rFonts w:ascii="宋体" w:hAnsi="宋体" w:eastAsia="宋体" w:cs="宋体"/>
                <w:kern w:val="0"/>
                <w:szCs w:val="24"/>
                <w:highlight w:val="none"/>
                <w:lang w:bidi="ar"/>
              </w:rPr>
              <w:t>血旺</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血旺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140克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20" w:firstLineChars="200"/>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140克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酸菜</w:t>
            </w:r>
            <w:r>
              <w:rPr>
                <w:rFonts w:ascii="宋体" w:hAnsi="宋体" w:eastAsia="宋体" w:cs="宋体"/>
                <w:kern w:val="0"/>
                <w:szCs w:val="24"/>
                <w:highlight w:val="none"/>
                <w:lang w:bidi="ar"/>
              </w:rPr>
              <w:t>粉丝</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粉丝</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70克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酸菜</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80克</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20" w:firstLineChars="200"/>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150克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红烧豆腐</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豆腐</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150克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20" w:firstLineChars="200"/>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150克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豌豆泥</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豌豆</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170克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20" w:firstLineChars="200"/>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170克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烧冬瓜</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冬瓜</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150克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20" w:firstLineChars="200"/>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150克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凉拌</w:t>
            </w:r>
            <w:r>
              <w:rPr>
                <w:rFonts w:ascii="宋体" w:hAnsi="宋体" w:eastAsia="宋体" w:cs="宋体"/>
                <w:kern w:val="0"/>
                <w:szCs w:val="24"/>
                <w:highlight w:val="none"/>
                <w:lang w:bidi="ar"/>
              </w:rPr>
              <w:t>豆腐</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豆腐</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150克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20" w:firstLineChars="200"/>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150克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凉拌</w:t>
            </w:r>
            <w:r>
              <w:rPr>
                <w:rFonts w:ascii="宋体" w:hAnsi="宋体" w:eastAsia="宋体" w:cs="宋体"/>
                <w:kern w:val="0"/>
                <w:szCs w:val="24"/>
                <w:highlight w:val="none"/>
                <w:lang w:bidi="ar"/>
              </w:rPr>
              <w:t>红苕粉</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苕粉</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160克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20" w:firstLineChars="200"/>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160克</w:t>
            </w:r>
          </w:p>
        </w:tc>
      </w:tr>
      <w:tr>
        <w:tblPrEx>
          <w:tblCellMar>
            <w:top w:w="0" w:type="dxa"/>
            <w:left w:w="108" w:type="dxa"/>
            <w:bottom w:w="0" w:type="dxa"/>
            <w:right w:w="108" w:type="dxa"/>
          </w:tblCellMar>
        </w:tblPrEx>
        <w:trPr>
          <w:trHeight w:val="36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Cs w:val="24"/>
                <w:highlight w:val="none"/>
              </w:rPr>
            </w:pPr>
            <w:r>
              <w:rPr>
                <w:rFonts w:hint="eastAsia" w:ascii="宋体" w:hAnsi="宋体" w:eastAsia="宋体" w:cs="宋体"/>
                <w:kern w:val="0"/>
                <w:szCs w:val="24"/>
                <w:highlight w:val="none"/>
                <w:lang w:bidi="ar"/>
              </w:rPr>
              <w:t>凉三丝</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蔬菜</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190克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kern w:val="0"/>
                <w:szCs w:val="24"/>
                <w:highlight w:val="none"/>
                <w:lang w:bidi="ar"/>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Cs w:val="24"/>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20" w:firstLineChars="200"/>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190克</w:t>
            </w:r>
          </w:p>
        </w:tc>
      </w:tr>
      <w:tr>
        <w:tblPrEx>
          <w:tblCellMar>
            <w:top w:w="0" w:type="dxa"/>
            <w:left w:w="108" w:type="dxa"/>
            <w:bottom w:w="0" w:type="dxa"/>
            <w:right w:w="108" w:type="dxa"/>
          </w:tblCellMar>
        </w:tblPrEx>
        <w:trPr>
          <w:trHeight w:val="35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szCs w:val="24"/>
                <w:highlight w:val="none"/>
              </w:rPr>
            </w:pPr>
            <w:r>
              <w:rPr>
                <w:rFonts w:hint="eastAsia" w:ascii="宋体" w:hAnsi="宋体" w:eastAsia="宋体" w:cs="宋体"/>
                <w:kern w:val="0"/>
                <w:szCs w:val="24"/>
                <w:highlight w:val="none"/>
                <w:lang w:bidi="ar"/>
              </w:rPr>
              <w:t>凉拌</w:t>
            </w:r>
            <w:r>
              <w:rPr>
                <w:rFonts w:ascii="宋体" w:hAnsi="宋体" w:eastAsia="宋体" w:cs="宋体"/>
                <w:kern w:val="0"/>
                <w:szCs w:val="24"/>
                <w:highlight w:val="none"/>
                <w:lang w:bidi="ar"/>
              </w:rPr>
              <w:t>豆干</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豆干</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szCs w:val="24"/>
                <w:highlight w:val="none"/>
              </w:rPr>
            </w:pPr>
            <w:r>
              <w:rPr>
                <w:rFonts w:hint="eastAsia" w:ascii="宋体" w:hAnsi="宋体" w:eastAsia="宋体" w:cs="宋体"/>
                <w:szCs w:val="24"/>
                <w:highlight w:val="none"/>
              </w:rPr>
              <w:t>180克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szCs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textAlignment w:val="center"/>
              <w:rPr>
                <w:rFonts w:ascii="宋体" w:hAnsi="宋体" w:eastAsia="宋体" w:cs="宋体"/>
                <w:szCs w:val="24"/>
                <w:highlight w:val="none"/>
              </w:rPr>
            </w:pPr>
            <w:r>
              <w:rPr>
                <w:rFonts w:hint="eastAsia" w:ascii="宋体" w:hAnsi="宋体" w:eastAsia="宋体" w:cs="宋体"/>
                <w:szCs w:val="24"/>
                <w:highlight w:val="none"/>
              </w:rPr>
              <w:t xml:space="preserve">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20" w:firstLineChars="200"/>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180克</w:t>
            </w:r>
          </w:p>
        </w:tc>
      </w:tr>
      <w:tr>
        <w:tblPrEx>
          <w:tblCellMar>
            <w:top w:w="0" w:type="dxa"/>
            <w:left w:w="108" w:type="dxa"/>
            <w:bottom w:w="0" w:type="dxa"/>
            <w:right w:w="108" w:type="dxa"/>
          </w:tblCellMar>
        </w:tblPrEx>
        <w:trPr>
          <w:trHeight w:val="35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凉拌</w:t>
            </w:r>
            <w:r>
              <w:rPr>
                <w:rFonts w:ascii="宋体" w:hAnsi="宋体" w:eastAsia="宋体" w:cs="宋体"/>
                <w:kern w:val="0"/>
                <w:szCs w:val="24"/>
                <w:highlight w:val="none"/>
                <w:lang w:bidi="ar"/>
              </w:rPr>
              <w:t>油麦菜</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油麦菜</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szCs w:val="24"/>
                <w:highlight w:val="none"/>
              </w:rPr>
            </w:pPr>
            <w:r>
              <w:rPr>
                <w:rFonts w:hint="eastAsia" w:ascii="宋体" w:hAnsi="宋体" w:eastAsia="宋体" w:cs="宋体"/>
                <w:szCs w:val="24"/>
                <w:highlight w:val="none"/>
              </w:rPr>
              <w:t>180克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szCs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szCs w:val="24"/>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20" w:firstLineChars="200"/>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180克</w:t>
            </w:r>
          </w:p>
        </w:tc>
      </w:tr>
      <w:tr>
        <w:tblPrEx>
          <w:tblCellMar>
            <w:top w:w="0" w:type="dxa"/>
            <w:left w:w="108" w:type="dxa"/>
            <w:bottom w:w="0" w:type="dxa"/>
            <w:right w:w="108" w:type="dxa"/>
          </w:tblCellMar>
        </w:tblPrEx>
        <w:trPr>
          <w:trHeight w:val="351" w:hRule="atLeast"/>
        </w:trPr>
        <w:tc>
          <w:tcPr>
            <w:tcW w:w="142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土豆泥</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土豆</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jc w:val="center"/>
              <w:textAlignment w:val="center"/>
              <w:rPr>
                <w:rFonts w:ascii="宋体" w:hAnsi="宋体" w:eastAsia="宋体" w:cs="宋体"/>
                <w:szCs w:val="24"/>
                <w:highlight w:val="none"/>
              </w:rPr>
            </w:pPr>
            <w:r>
              <w:rPr>
                <w:rFonts w:hint="eastAsia" w:ascii="宋体" w:hAnsi="宋体" w:eastAsia="宋体" w:cs="宋体"/>
                <w:szCs w:val="24"/>
                <w:highlight w:val="none"/>
              </w:rPr>
              <w:t>170克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80"/>
              <w:jc w:val="center"/>
              <w:textAlignment w:val="center"/>
              <w:rPr>
                <w:rFonts w:ascii="宋体" w:hAnsi="宋体" w:eastAsia="宋体" w:cs="宋体"/>
                <w:szCs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szCs w:val="24"/>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76" w:lineRule="auto"/>
              <w:ind w:firstLine="420" w:firstLineChars="200"/>
              <w:textAlignment w:val="center"/>
              <w:rPr>
                <w:rFonts w:ascii="宋体" w:hAnsi="宋体" w:eastAsia="宋体" w:cs="宋体"/>
                <w:kern w:val="0"/>
                <w:szCs w:val="24"/>
                <w:highlight w:val="none"/>
                <w:lang w:bidi="ar"/>
              </w:rPr>
            </w:pPr>
            <w:r>
              <w:rPr>
                <w:rFonts w:hint="eastAsia" w:ascii="宋体" w:hAnsi="宋体" w:eastAsia="宋体" w:cs="宋体"/>
                <w:kern w:val="0"/>
                <w:szCs w:val="24"/>
                <w:highlight w:val="none"/>
                <w:lang w:bidi="ar"/>
              </w:rPr>
              <w:t>170克</w:t>
            </w:r>
          </w:p>
        </w:tc>
      </w:tr>
    </w:tbl>
    <w:p>
      <w:pPr>
        <w:spacing w:line="276" w:lineRule="auto"/>
        <w:rPr>
          <w:rFonts w:ascii="宋体" w:hAnsi="宋体" w:eastAsia="宋体" w:cs="仿宋"/>
          <w:sz w:val="24"/>
          <w:szCs w:val="24"/>
          <w:highlight w:val="none"/>
        </w:rPr>
      </w:pPr>
    </w:p>
    <w:p>
      <w:pPr>
        <w:spacing w:line="276" w:lineRule="auto"/>
        <w:ind w:firstLine="480" w:firstLineChars="200"/>
        <w:jc w:val="left"/>
        <w:rPr>
          <w:rFonts w:ascii="宋体" w:hAnsi="宋体" w:eastAsia="宋体" w:cs="仿宋"/>
          <w:sz w:val="24"/>
          <w:szCs w:val="24"/>
          <w:highlight w:val="none"/>
        </w:rPr>
      </w:pPr>
      <w:bookmarkStart w:id="18" w:name="OLE_LINK98"/>
      <w:r>
        <w:rPr>
          <w:rFonts w:ascii="宋体" w:hAnsi="宋体" w:eastAsia="宋体" w:cs="仿宋"/>
          <w:sz w:val="24"/>
          <w:szCs w:val="24"/>
          <w:highlight w:val="none"/>
        </w:rPr>
        <w:t>8.1.5基本大伙餐</w:t>
      </w:r>
      <w:r>
        <w:rPr>
          <w:rFonts w:hint="eastAsia" w:ascii="宋体" w:hAnsi="宋体" w:eastAsia="宋体" w:cs="仿宋"/>
          <w:sz w:val="24"/>
          <w:szCs w:val="24"/>
          <w:highlight w:val="none"/>
        </w:rPr>
        <w:t>基准价格</w:t>
      </w:r>
      <w:bookmarkEnd w:id="18"/>
      <w:r>
        <w:rPr>
          <w:rFonts w:hint="eastAsia" w:ascii="宋体" w:hAnsi="宋体" w:eastAsia="宋体" w:cs="仿宋"/>
          <w:sz w:val="24"/>
          <w:szCs w:val="24"/>
          <w:highlight w:val="none"/>
        </w:rPr>
        <w:t>：</w:t>
      </w:r>
    </w:p>
    <w:tbl>
      <w:tblPr>
        <w:tblStyle w:val="33"/>
        <w:tblW w:w="7881" w:type="dxa"/>
        <w:tblInd w:w="547" w:type="dxa"/>
        <w:tblLayout w:type="fixed"/>
        <w:tblCellMar>
          <w:top w:w="0" w:type="dxa"/>
          <w:left w:w="108" w:type="dxa"/>
          <w:bottom w:w="0" w:type="dxa"/>
          <w:right w:w="108" w:type="dxa"/>
        </w:tblCellMar>
      </w:tblPr>
      <w:tblGrid>
        <w:gridCol w:w="1014"/>
        <w:gridCol w:w="1249"/>
        <w:gridCol w:w="1050"/>
        <w:gridCol w:w="1732"/>
        <w:gridCol w:w="1418"/>
        <w:gridCol w:w="1418"/>
      </w:tblGrid>
      <w:tr>
        <w:tblPrEx>
          <w:tblCellMar>
            <w:top w:w="0" w:type="dxa"/>
            <w:left w:w="108" w:type="dxa"/>
            <w:bottom w:w="0" w:type="dxa"/>
            <w:right w:w="108" w:type="dxa"/>
          </w:tblCellMar>
        </w:tblPrEx>
        <w:trPr>
          <w:trHeight w:val="828" w:hRule="atLeast"/>
        </w:trPr>
        <w:tc>
          <w:tcPr>
            <w:tcW w:w="2263" w:type="dxa"/>
            <w:gridSpan w:val="2"/>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品类</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售价（元）</w:t>
            </w:r>
          </w:p>
        </w:tc>
        <w:tc>
          <w:tcPr>
            <w:tcW w:w="1732"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荤菜类（g）（熟重）</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素菜类（g）</w:t>
            </w:r>
          </w:p>
          <w:p>
            <w:pPr>
              <w:widowControl/>
              <w:adjustRightInd w:val="0"/>
              <w:snapToGrid w:val="0"/>
              <w:spacing w:line="276" w:lineRule="auto"/>
              <w:jc w:val="center"/>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（熟重）</w:t>
            </w:r>
          </w:p>
        </w:tc>
        <w:tc>
          <w:tcPr>
            <w:tcW w:w="1418"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276" w:lineRule="auto"/>
              <w:jc w:val="center"/>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具体要求</w:t>
            </w:r>
          </w:p>
        </w:tc>
      </w:tr>
      <w:tr>
        <w:tblPrEx>
          <w:tblCellMar>
            <w:top w:w="0" w:type="dxa"/>
            <w:left w:w="108" w:type="dxa"/>
            <w:bottom w:w="0" w:type="dxa"/>
            <w:right w:w="108" w:type="dxa"/>
          </w:tblCellMar>
        </w:tblPrEx>
        <w:trPr>
          <w:trHeight w:val="634" w:hRule="atLeast"/>
        </w:trPr>
        <w:tc>
          <w:tcPr>
            <w:tcW w:w="101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基础大伙餐</w:t>
            </w:r>
          </w:p>
          <w:p>
            <w:pPr>
              <w:widowControl/>
              <w:adjustRightInd w:val="0"/>
              <w:snapToGrid w:val="0"/>
              <w:spacing w:line="276" w:lineRule="auto"/>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米饭、汤免费</w:t>
            </w:r>
          </w:p>
        </w:tc>
        <w:tc>
          <w:tcPr>
            <w:tcW w:w="124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一荤一素</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6</w:t>
            </w:r>
          </w:p>
        </w:tc>
        <w:tc>
          <w:tcPr>
            <w:tcW w:w="1732"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肉类≥</w:t>
            </w:r>
            <w:r>
              <w:rPr>
                <w:rFonts w:ascii="宋体" w:hAnsi="宋体" w:eastAsia="宋体" w:cs="宋体"/>
                <w:kern w:val="0"/>
                <w:sz w:val="24"/>
                <w:szCs w:val="24"/>
                <w:highlight w:val="none"/>
                <w:lang w:bidi="ar"/>
              </w:rPr>
              <w:t>80</w:t>
            </w:r>
          </w:p>
          <w:p>
            <w:pPr>
              <w:widowControl/>
              <w:adjustRightInd w:val="0"/>
              <w:snapToGrid w:val="0"/>
              <w:spacing w:line="276" w:lineRule="auto"/>
              <w:jc w:val="center"/>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配菜≥8</w:t>
            </w:r>
            <w:r>
              <w:rPr>
                <w:rFonts w:ascii="宋体" w:hAnsi="宋体" w:eastAsia="宋体" w:cs="宋体"/>
                <w:kern w:val="0"/>
                <w:sz w:val="24"/>
                <w:szCs w:val="24"/>
                <w:highlight w:val="none"/>
                <w:lang w:bidi="ar"/>
              </w:rPr>
              <w:t>0</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≥1</w:t>
            </w:r>
            <w:r>
              <w:rPr>
                <w:rFonts w:ascii="宋体" w:hAnsi="宋体" w:eastAsia="宋体" w:cs="宋体"/>
                <w:kern w:val="0"/>
                <w:sz w:val="24"/>
                <w:szCs w:val="24"/>
                <w:highlight w:val="none"/>
                <w:lang w:bidi="ar"/>
              </w:rPr>
              <w:t>2</w:t>
            </w:r>
            <w:r>
              <w:rPr>
                <w:rFonts w:hint="eastAsia" w:ascii="宋体" w:hAnsi="宋体" w:eastAsia="宋体" w:cs="宋体"/>
                <w:kern w:val="0"/>
                <w:sz w:val="24"/>
                <w:szCs w:val="24"/>
                <w:highlight w:val="none"/>
                <w:lang w:bidi="ar"/>
              </w:rPr>
              <w:t>0</w:t>
            </w:r>
          </w:p>
        </w:tc>
        <w:tc>
          <w:tcPr>
            <w:tcW w:w="1418" w:type="dxa"/>
            <w:vMerge w:val="restart"/>
            <w:tcBorders>
              <w:top w:val="single" w:color="000000" w:sz="4" w:space="0"/>
              <w:left w:val="single" w:color="000000" w:sz="4" w:space="0"/>
              <w:right w:val="single" w:color="000000" w:sz="4" w:space="0"/>
            </w:tcBorders>
          </w:tcPr>
          <w:p>
            <w:pPr>
              <w:widowControl/>
              <w:adjustRightInd w:val="0"/>
              <w:snapToGrid w:val="0"/>
              <w:spacing w:line="276" w:lineRule="auto"/>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工作日应提供至少</w:t>
            </w:r>
            <w:r>
              <w:rPr>
                <w:rFonts w:ascii="宋体" w:hAnsi="宋体" w:eastAsia="宋体" w:cs="宋体"/>
                <w:kern w:val="0"/>
                <w:sz w:val="24"/>
                <w:szCs w:val="24"/>
                <w:highlight w:val="none"/>
                <w:lang w:bidi="ar"/>
              </w:rPr>
              <w:t>1</w:t>
            </w:r>
            <w:r>
              <w:rPr>
                <w:rFonts w:hint="eastAsia" w:ascii="宋体" w:hAnsi="宋体" w:eastAsia="宋体" w:cs="宋体"/>
                <w:kern w:val="0"/>
                <w:sz w:val="24"/>
                <w:szCs w:val="24"/>
                <w:highlight w:val="none"/>
                <w:lang w:bidi="ar"/>
              </w:rPr>
              <w:t>4个荤菜和14素菜，荤菜中保证至少8个菜品为鲜猪肉菜品。工作日供应其它菜品如：烧白、排骨、猪蹄、鸡腿等特色菜品。</w:t>
            </w:r>
          </w:p>
        </w:tc>
      </w:tr>
      <w:tr>
        <w:tblPrEx>
          <w:tblCellMar>
            <w:top w:w="0" w:type="dxa"/>
            <w:left w:w="108" w:type="dxa"/>
            <w:bottom w:w="0" w:type="dxa"/>
            <w:right w:w="108" w:type="dxa"/>
          </w:tblCellMar>
        </w:tblPrEx>
        <w:trPr>
          <w:trHeight w:val="824" w:hRule="atLeast"/>
        </w:trPr>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 w:val="24"/>
                <w:szCs w:val="24"/>
                <w:highlight w:val="none"/>
                <w:lang w:bidi="ar"/>
              </w:rPr>
            </w:pPr>
          </w:p>
        </w:tc>
        <w:tc>
          <w:tcPr>
            <w:tcW w:w="124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一荤两素</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7</w:t>
            </w:r>
          </w:p>
        </w:tc>
        <w:tc>
          <w:tcPr>
            <w:tcW w:w="1732"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cs="宋体"/>
                <w:kern w:val="0"/>
                <w:sz w:val="24"/>
                <w:szCs w:val="24"/>
                <w:highlight w:val="none"/>
                <w:lang w:bidi="ar"/>
              </w:rPr>
            </w:pPr>
            <w:r>
              <w:rPr>
                <w:rFonts w:hint="eastAsia" w:ascii="宋体" w:hAnsi="宋体" w:cs="宋体"/>
                <w:kern w:val="0"/>
                <w:sz w:val="24"/>
                <w:szCs w:val="24"/>
                <w:highlight w:val="none"/>
                <w:lang w:bidi="ar"/>
              </w:rPr>
              <w:t>肉类≥</w:t>
            </w:r>
            <w:r>
              <w:rPr>
                <w:rFonts w:ascii="宋体" w:hAnsi="宋体" w:cs="宋体"/>
                <w:kern w:val="0"/>
                <w:sz w:val="24"/>
                <w:szCs w:val="24"/>
                <w:highlight w:val="none"/>
                <w:lang w:bidi="ar"/>
              </w:rPr>
              <w:t>80</w:t>
            </w:r>
          </w:p>
          <w:p>
            <w:pPr>
              <w:widowControl/>
              <w:adjustRightInd w:val="0"/>
              <w:snapToGrid w:val="0"/>
              <w:spacing w:line="276" w:lineRule="auto"/>
              <w:jc w:val="center"/>
              <w:textAlignment w:val="center"/>
              <w:rPr>
                <w:rFonts w:ascii="宋体" w:hAnsi="宋体" w:eastAsia="宋体" w:cs="宋体"/>
                <w:kern w:val="0"/>
                <w:sz w:val="24"/>
                <w:szCs w:val="24"/>
                <w:highlight w:val="none"/>
                <w:lang w:bidi="ar"/>
              </w:rPr>
            </w:pPr>
            <w:r>
              <w:rPr>
                <w:rFonts w:hint="eastAsia" w:ascii="宋体" w:hAnsi="宋体" w:cs="宋体"/>
                <w:kern w:val="0"/>
                <w:sz w:val="24"/>
                <w:szCs w:val="24"/>
                <w:highlight w:val="none"/>
                <w:lang w:bidi="ar"/>
              </w:rPr>
              <w:t>配菜≥80</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w:t>
            </w:r>
            <w:r>
              <w:rPr>
                <w:rFonts w:ascii="宋体" w:hAnsi="宋体" w:eastAsia="宋体" w:cs="宋体"/>
                <w:kern w:val="0"/>
                <w:sz w:val="24"/>
                <w:szCs w:val="24"/>
                <w:highlight w:val="none"/>
                <w:lang w:bidi="ar"/>
              </w:rPr>
              <w:t>24</w:t>
            </w:r>
            <w:r>
              <w:rPr>
                <w:rFonts w:hint="eastAsia" w:ascii="宋体" w:hAnsi="宋体" w:eastAsia="宋体" w:cs="宋体"/>
                <w:kern w:val="0"/>
                <w:sz w:val="24"/>
                <w:szCs w:val="24"/>
                <w:highlight w:val="none"/>
                <w:lang w:bidi="ar"/>
              </w:rPr>
              <w:t>0</w:t>
            </w:r>
          </w:p>
        </w:tc>
        <w:tc>
          <w:tcPr>
            <w:tcW w:w="1418" w:type="dxa"/>
            <w:vMerge w:val="continue"/>
            <w:tcBorders>
              <w:left w:val="single" w:color="000000" w:sz="4" w:space="0"/>
              <w:right w:val="single" w:color="000000" w:sz="4" w:space="0"/>
            </w:tcBorders>
          </w:tcPr>
          <w:p>
            <w:pPr>
              <w:widowControl/>
              <w:adjustRightInd w:val="0"/>
              <w:snapToGrid w:val="0"/>
              <w:spacing w:line="276" w:lineRule="auto"/>
              <w:jc w:val="center"/>
              <w:textAlignment w:val="center"/>
              <w:rPr>
                <w:rFonts w:ascii="宋体" w:hAnsi="宋体" w:eastAsia="宋体" w:cs="宋体"/>
                <w:kern w:val="0"/>
                <w:sz w:val="24"/>
                <w:szCs w:val="24"/>
                <w:highlight w:val="none"/>
                <w:lang w:bidi="ar"/>
              </w:rPr>
            </w:pPr>
          </w:p>
        </w:tc>
      </w:tr>
      <w:tr>
        <w:tblPrEx>
          <w:tblCellMar>
            <w:top w:w="0" w:type="dxa"/>
            <w:left w:w="108" w:type="dxa"/>
            <w:bottom w:w="0" w:type="dxa"/>
            <w:right w:w="108" w:type="dxa"/>
          </w:tblCellMar>
        </w:tblPrEx>
        <w:trPr>
          <w:trHeight w:val="824" w:hRule="atLeast"/>
        </w:trPr>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 w:val="24"/>
                <w:szCs w:val="24"/>
                <w:highlight w:val="none"/>
                <w:lang w:bidi="ar"/>
              </w:rPr>
            </w:pPr>
          </w:p>
        </w:tc>
        <w:tc>
          <w:tcPr>
            <w:tcW w:w="124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两荤一素</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8</w:t>
            </w:r>
          </w:p>
        </w:tc>
        <w:tc>
          <w:tcPr>
            <w:tcW w:w="1732"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cs="宋体"/>
                <w:kern w:val="0"/>
                <w:sz w:val="24"/>
                <w:szCs w:val="24"/>
                <w:highlight w:val="none"/>
                <w:lang w:bidi="ar"/>
              </w:rPr>
            </w:pPr>
            <w:r>
              <w:rPr>
                <w:rFonts w:hint="eastAsia" w:ascii="宋体" w:hAnsi="宋体" w:cs="宋体"/>
                <w:kern w:val="0"/>
                <w:sz w:val="24"/>
                <w:szCs w:val="24"/>
                <w:highlight w:val="none"/>
                <w:lang w:bidi="ar"/>
              </w:rPr>
              <w:t>肉类≥1</w:t>
            </w:r>
            <w:r>
              <w:rPr>
                <w:rFonts w:ascii="宋体" w:hAnsi="宋体" w:cs="宋体"/>
                <w:kern w:val="0"/>
                <w:sz w:val="24"/>
                <w:szCs w:val="24"/>
                <w:highlight w:val="none"/>
                <w:lang w:bidi="ar"/>
              </w:rPr>
              <w:t>60</w:t>
            </w:r>
          </w:p>
          <w:p>
            <w:pPr>
              <w:widowControl/>
              <w:adjustRightInd w:val="0"/>
              <w:snapToGrid w:val="0"/>
              <w:spacing w:line="276" w:lineRule="auto"/>
              <w:jc w:val="center"/>
              <w:textAlignment w:val="center"/>
              <w:rPr>
                <w:rFonts w:ascii="宋体" w:hAnsi="宋体" w:eastAsia="宋体" w:cs="宋体"/>
                <w:kern w:val="0"/>
                <w:sz w:val="24"/>
                <w:szCs w:val="24"/>
                <w:highlight w:val="none"/>
                <w:lang w:bidi="ar"/>
              </w:rPr>
            </w:pPr>
            <w:r>
              <w:rPr>
                <w:rFonts w:hint="eastAsia" w:ascii="宋体" w:hAnsi="宋体" w:cs="宋体"/>
                <w:kern w:val="0"/>
                <w:sz w:val="24"/>
                <w:szCs w:val="24"/>
                <w:highlight w:val="none"/>
                <w:lang w:bidi="ar"/>
              </w:rPr>
              <w:t>配菜≥</w:t>
            </w:r>
            <w:r>
              <w:rPr>
                <w:rFonts w:ascii="宋体" w:hAnsi="宋体" w:cs="宋体"/>
                <w:kern w:val="0"/>
                <w:sz w:val="24"/>
                <w:szCs w:val="24"/>
                <w:highlight w:val="none"/>
                <w:lang w:bidi="ar"/>
              </w:rPr>
              <w:t>1</w:t>
            </w:r>
            <w:r>
              <w:rPr>
                <w:rFonts w:hint="eastAsia" w:ascii="宋体" w:hAnsi="宋体" w:cs="宋体"/>
                <w:kern w:val="0"/>
                <w:sz w:val="24"/>
                <w:szCs w:val="24"/>
                <w:highlight w:val="none"/>
                <w:lang w:bidi="ar"/>
              </w:rPr>
              <w:t>60</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≥1</w:t>
            </w:r>
            <w:r>
              <w:rPr>
                <w:rFonts w:ascii="宋体" w:hAnsi="宋体" w:eastAsia="宋体" w:cs="宋体"/>
                <w:kern w:val="0"/>
                <w:sz w:val="24"/>
                <w:szCs w:val="24"/>
                <w:highlight w:val="none"/>
                <w:lang w:bidi="ar"/>
              </w:rPr>
              <w:t>2</w:t>
            </w:r>
            <w:r>
              <w:rPr>
                <w:rFonts w:hint="eastAsia" w:ascii="宋体" w:hAnsi="宋体" w:eastAsia="宋体" w:cs="宋体"/>
                <w:kern w:val="0"/>
                <w:sz w:val="24"/>
                <w:szCs w:val="24"/>
                <w:highlight w:val="none"/>
                <w:lang w:bidi="ar"/>
              </w:rPr>
              <w:t>0</w:t>
            </w:r>
          </w:p>
        </w:tc>
        <w:tc>
          <w:tcPr>
            <w:tcW w:w="1418" w:type="dxa"/>
            <w:vMerge w:val="continue"/>
            <w:tcBorders>
              <w:left w:val="single" w:color="000000" w:sz="4" w:space="0"/>
              <w:right w:val="single" w:color="000000" w:sz="4" w:space="0"/>
            </w:tcBorders>
          </w:tcPr>
          <w:p>
            <w:pPr>
              <w:widowControl/>
              <w:adjustRightInd w:val="0"/>
              <w:snapToGrid w:val="0"/>
              <w:spacing w:line="276" w:lineRule="auto"/>
              <w:jc w:val="center"/>
              <w:textAlignment w:val="center"/>
              <w:rPr>
                <w:rFonts w:ascii="宋体" w:hAnsi="宋体" w:eastAsia="宋体" w:cs="宋体"/>
                <w:kern w:val="0"/>
                <w:sz w:val="24"/>
                <w:szCs w:val="24"/>
                <w:highlight w:val="none"/>
                <w:lang w:bidi="ar"/>
              </w:rPr>
            </w:pPr>
          </w:p>
        </w:tc>
      </w:tr>
      <w:tr>
        <w:tblPrEx>
          <w:tblCellMar>
            <w:top w:w="0" w:type="dxa"/>
            <w:left w:w="108" w:type="dxa"/>
            <w:bottom w:w="0" w:type="dxa"/>
            <w:right w:w="108" w:type="dxa"/>
          </w:tblCellMar>
        </w:tblPrEx>
        <w:trPr>
          <w:trHeight w:val="914" w:hRule="atLeast"/>
        </w:trPr>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ind w:firstLine="480"/>
              <w:jc w:val="center"/>
              <w:textAlignment w:val="center"/>
              <w:rPr>
                <w:rFonts w:ascii="宋体" w:hAnsi="宋体" w:eastAsia="宋体" w:cs="宋体"/>
                <w:kern w:val="0"/>
                <w:sz w:val="24"/>
                <w:szCs w:val="24"/>
                <w:highlight w:val="none"/>
                <w:lang w:bidi="ar"/>
              </w:rPr>
            </w:pPr>
          </w:p>
        </w:tc>
        <w:tc>
          <w:tcPr>
            <w:tcW w:w="1249"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两荤两素</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9</w:t>
            </w:r>
          </w:p>
        </w:tc>
        <w:tc>
          <w:tcPr>
            <w:tcW w:w="1732"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cs="宋体"/>
                <w:kern w:val="0"/>
                <w:sz w:val="24"/>
                <w:szCs w:val="24"/>
                <w:highlight w:val="none"/>
                <w:lang w:bidi="ar"/>
              </w:rPr>
            </w:pPr>
            <w:r>
              <w:rPr>
                <w:rFonts w:hint="eastAsia" w:ascii="宋体" w:hAnsi="宋体" w:cs="宋体"/>
                <w:kern w:val="0"/>
                <w:sz w:val="24"/>
                <w:szCs w:val="24"/>
                <w:highlight w:val="none"/>
                <w:lang w:bidi="ar"/>
              </w:rPr>
              <w:t>肉类≥1</w:t>
            </w:r>
            <w:r>
              <w:rPr>
                <w:rFonts w:ascii="宋体" w:hAnsi="宋体" w:cs="宋体"/>
                <w:kern w:val="0"/>
                <w:sz w:val="24"/>
                <w:szCs w:val="24"/>
                <w:highlight w:val="none"/>
                <w:lang w:bidi="ar"/>
              </w:rPr>
              <w:t>6</w:t>
            </w:r>
            <w:r>
              <w:rPr>
                <w:rFonts w:hint="eastAsia" w:ascii="宋体" w:hAnsi="宋体" w:cs="宋体"/>
                <w:kern w:val="0"/>
                <w:sz w:val="24"/>
                <w:szCs w:val="24"/>
                <w:highlight w:val="none"/>
                <w:lang w:bidi="ar"/>
              </w:rPr>
              <w:t>0</w:t>
            </w:r>
          </w:p>
          <w:p>
            <w:pPr>
              <w:widowControl/>
              <w:adjustRightInd w:val="0"/>
              <w:snapToGrid w:val="0"/>
              <w:spacing w:line="276" w:lineRule="auto"/>
              <w:jc w:val="center"/>
              <w:textAlignment w:val="center"/>
              <w:rPr>
                <w:rFonts w:ascii="宋体" w:hAnsi="宋体" w:eastAsia="宋体" w:cs="宋体"/>
                <w:kern w:val="0"/>
                <w:sz w:val="24"/>
                <w:szCs w:val="24"/>
                <w:highlight w:val="none"/>
                <w:lang w:bidi="ar"/>
              </w:rPr>
            </w:pPr>
            <w:r>
              <w:rPr>
                <w:rFonts w:hint="eastAsia" w:ascii="宋体" w:hAnsi="宋体" w:cs="宋体"/>
                <w:kern w:val="0"/>
                <w:sz w:val="24"/>
                <w:szCs w:val="24"/>
                <w:highlight w:val="none"/>
                <w:lang w:bidi="ar"/>
              </w:rPr>
              <w:t>配菜≥</w:t>
            </w:r>
            <w:r>
              <w:rPr>
                <w:rFonts w:ascii="宋体" w:hAnsi="宋体" w:cs="宋体"/>
                <w:kern w:val="0"/>
                <w:sz w:val="24"/>
                <w:szCs w:val="24"/>
                <w:highlight w:val="none"/>
                <w:lang w:bidi="ar"/>
              </w:rPr>
              <w:t>1</w:t>
            </w:r>
            <w:r>
              <w:rPr>
                <w:rFonts w:hint="eastAsia" w:ascii="宋体" w:hAnsi="宋体" w:cs="宋体"/>
                <w:kern w:val="0"/>
                <w:sz w:val="24"/>
                <w:szCs w:val="24"/>
                <w:highlight w:val="none"/>
                <w:lang w:bidi="ar"/>
              </w:rPr>
              <w:t>60</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76" w:lineRule="auto"/>
              <w:jc w:val="center"/>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w:t>
            </w:r>
            <w:r>
              <w:rPr>
                <w:rFonts w:ascii="宋体" w:hAnsi="宋体" w:eastAsia="宋体" w:cs="宋体"/>
                <w:kern w:val="0"/>
                <w:sz w:val="24"/>
                <w:szCs w:val="24"/>
                <w:highlight w:val="none"/>
                <w:lang w:bidi="ar"/>
              </w:rPr>
              <w:t>24</w:t>
            </w:r>
            <w:r>
              <w:rPr>
                <w:rFonts w:hint="eastAsia" w:ascii="宋体" w:hAnsi="宋体" w:eastAsia="宋体" w:cs="宋体"/>
                <w:kern w:val="0"/>
                <w:sz w:val="24"/>
                <w:szCs w:val="24"/>
                <w:highlight w:val="none"/>
                <w:lang w:bidi="ar"/>
              </w:rPr>
              <w:t>0</w:t>
            </w:r>
          </w:p>
        </w:tc>
        <w:tc>
          <w:tcPr>
            <w:tcW w:w="1418" w:type="dxa"/>
            <w:vMerge w:val="continue"/>
            <w:tcBorders>
              <w:left w:val="single" w:color="000000" w:sz="4" w:space="0"/>
              <w:bottom w:val="single" w:color="000000" w:sz="4" w:space="0"/>
              <w:right w:val="single" w:color="000000" w:sz="4" w:space="0"/>
            </w:tcBorders>
          </w:tcPr>
          <w:p>
            <w:pPr>
              <w:widowControl/>
              <w:adjustRightInd w:val="0"/>
              <w:snapToGrid w:val="0"/>
              <w:spacing w:line="276" w:lineRule="auto"/>
              <w:jc w:val="center"/>
              <w:textAlignment w:val="center"/>
              <w:rPr>
                <w:rFonts w:ascii="宋体" w:hAnsi="宋体" w:eastAsia="宋体" w:cs="宋体"/>
                <w:kern w:val="0"/>
                <w:sz w:val="24"/>
                <w:szCs w:val="24"/>
                <w:highlight w:val="none"/>
                <w:lang w:bidi="ar"/>
              </w:rPr>
            </w:pPr>
          </w:p>
        </w:tc>
      </w:tr>
    </w:tbl>
    <w:p>
      <w:pPr>
        <w:spacing w:line="276" w:lineRule="auto"/>
        <w:ind w:firstLine="480" w:firstLineChars="200"/>
        <w:jc w:val="left"/>
        <w:rPr>
          <w:rFonts w:ascii="宋体" w:hAnsi="宋体" w:eastAsia="宋体" w:cs="仿宋"/>
          <w:sz w:val="24"/>
          <w:szCs w:val="24"/>
          <w:highlight w:val="none"/>
        </w:rPr>
      </w:pPr>
      <w:r>
        <w:rPr>
          <w:rFonts w:hint="eastAsia" w:ascii="宋体" w:hAnsi="宋体" w:eastAsia="宋体" w:cs="仿宋"/>
          <w:sz w:val="24"/>
          <w:szCs w:val="24"/>
          <w:highlight w:val="none"/>
        </w:rPr>
        <w:t>基本大伙餐实际售卖价格</w:t>
      </w:r>
      <w:r>
        <w:rPr>
          <w:rFonts w:ascii="宋体" w:hAnsi="宋体" w:eastAsia="宋体" w:cs="仿宋"/>
          <w:sz w:val="24"/>
          <w:szCs w:val="24"/>
          <w:highlight w:val="none"/>
        </w:rPr>
        <w:t>=基本大伙餐基准价格*</w:t>
      </w:r>
      <w:r>
        <w:rPr>
          <w:rFonts w:hint="eastAsia" w:ascii="宋体" w:hAnsi="宋体" w:eastAsia="宋体" w:cs="仿宋"/>
          <w:sz w:val="24"/>
          <w:szCs w:val="24"/>
          <w:highlight w:val="none"/>
        </w:rPr>
        <w:t>基本大伙餐折扣率</w:t>
      </w:r>
    </w:p>
    <w:p>
      <w:pPr>
        <w:spacing w:line="276" w:lineRule="auto"/>
        <w:ind w:firstLine="480" w:firstLineChars="200"/>
        <w:jc w:val="left"/>
        <w:rPr>
          <w:rFonts w:ascii="宋体" w:hAnsi="宋体" w:eastAsia="宋体" w:cs="仿宋"/>
          <w:sz w:val="24"/>
          <w:szCs w:val="24"/>
          <w:highlight w:val="none"/>
        </w:rPr>
      </w:pPr>
      <w:r>
        <w:rPr>
          <w:rFonts w:ascii="宋体" w:hAnsi="宋体" w:eastAsia="宋体" w:cs="仿宋"/>
          <w:sz w:val="24"/>
          <w:szCs w:val="24"/>
          <w:highlight w:val="none"/>
        </w:rPr>
        <w:t>9.</w:t>
      </w:r>
      <w:r>
        <w:rPr>
          <w:rFonts w:hint="eastAsia" w:ascii="宋体" w:hAnsi="宋体" w:eastAsia="宋体" w:cs="仿宋"/>
          <w:sz w:val="24"/>
          <w:szCs w:val="24"/>
          <w:highlight w:val="none"/>
        </w:rPr>
        <w:t>风味特色餐报价要求。</w:t>
      </w:r>
    </w:p>
    <w:p>
      <w:pPr>
        <w:spacing w:line="276" w:lineRule="auto"/>
        <w:ind w:firstLine="480" w:firstLineChars="200"/>
        <w:jc w:val="left"/>
        <w:rPr>
          <w:rFonts w:ascii="宋体" w:hAnsi="宋体" w:eastAsia="宋体" w:cs="仿宋"/>
          <w:sz w:val="24"/>
          <w:szCs w:val="24"/>
          <w:highlight w:val="none"/>
        </w:rPr>
      </w:pPr>
      <w:r>
        <w:rPr>
          <w:rFonts w:hint="eastAsia" w:ascii="宋体" w:hAnsi="宋体" w:eastAsia="宋体" w:cs="仿宋"/>
          <w:sz w:val="24"/>
          <w:szCs w:val="24"/>
          <w:highlight w:val="none"/>
        </w:rPr>
        <w:t>风味特色餐在同质同量同品种的前提下，价格应低于周边市场价格8.5折，罗列所有能提供的菜品或套餐品类，必须有质、量、价的标准，风味特色餐</w:t>
      </w:r>
      <w:r>
        <w:rPr>
          <w:rFonts w:hint="eastAsia" w:ascii="宋体" w:hAnsi="宋体" w:eastAsia="宋体" w:cs="宋体"/>
          <w:sz w:val="24"/>
          <w:szCs w:val="24"/>
          <w:highlight w:val="none"/>
        </w:rPr>
        <w:t>价格应明码标价</w:t>
      </w:r>
      <w:r>
        <w:rPr>
          <w:rFonts w:hint="eastAsia" w:ascii="宋体" w:hAnsi="宋体" w:eastAsia="宋体" w:cs="仿宋"/>
          <w:sz w:val="24"/>
          <w:szCs w:val="24"/>
          <w:highlight w:val="none"/>
        </w:rPr>
        <w:t>。</w:t>
      </w:r>
      <w:r>
        <w:rPr>
          <w:rFonts w:hint="eastAsia" w:ascii="宋体" w:hAnsi="宋体" w:eastAsia="宋体" w:cs="宋体"/>
          <w:sz w:val="24"/>
          <w:szCs w:val="24"/>
          <w:highlight w:val="none"/>
        </w:rPr>
        <w:t>每个窗口要有“无利”菜品。</w:t>
      </w:r>
      <w:r>
        <w:rPr>
          <w:rFonts w:hint="eastAsia" w:ascii="宋体" w:hAnsi="宋体" w:eastAsia="宋体" w:cs="宋体"/>
          <w:color w:val="000000"/>
          <w:sz w:val="24"/>
          <w:szCs w:val="24"/>
          <w:highlight w:val="none"/>
        </w:rPr>
        <w:t>成交人</w:t>
      </w:r>
      <w:r>
        <w:rPr>
          <w:rFonts w:hint="eastAsia" w:ascii="宋体" w:hAnsi="宋体" w:eastAsia="宋体" w:cs="仿宋"/>
          <w:sz w:val="24"/>
          <w:szCs w:val="24"/>
          <w:highlight w:val="none"/>
        </w:rPr>
        <w:t>需努力增加饭菜的花色品种，提高饭菜质量，注重科学营养配餐。保证学校正常教学运行期间满足师生就餐需求，且未经批准不得擅自更改品种和价格。</w:t>
      </w:r>
    </w:p>
    <w:p>
      <w:pPr>
        <w:spacing w:line="276" w:lineRule="auto"/>
        <w:ind w:firstLine="480" w:firstLineChars="200"/>
        <w:jc w:val="left"/>
        <w:rPr>
          <w:rFonts w:ascii="宋体" w:hAnsi="宋体" w:eastAsia="宋体" w:cs="仿宋"/>
          <w:sz w:val="24"/>
          <w:szCs w:val="24"/>
          <w:highlight w:val="none"/>
        </w:rPr>
      </w:pPr>
      <w:r>
        <w:rPr>
          <w:rFonts w:ascii="宋体" w:hAnsi="宋体" w:eastAsia="宋体" w:cs="仿宋"/>
          <w:sz w:val="24"/>
          <w:szCs w:val="24"/>
          <w:highlight w:val="none"/>
        </w:rPr>
        <w:t>10</w:t>
      </w:r>
      <w:r>
        <w:rPr>
          <w:rFonts w:hint="eastAsia" w:ascii="宋体" w:hAnsi="宋体" w:eastAsia="宋体" w:cs="仿宋"/>
          <w:sz w:val="24"/>
          <w:szCs w:val="24"/>
          <w:highlight w:val="none"/>
        </w:rPr>
        <w:t>.食堂业态和窗口设置须进行前置审核，菜品品种、菜品价格、成本核算、菜品质量标准和经营管理（含人员管理）等须“一事一议一报批”，由学校主管部门审核，批准同意后方可实施，实行全过程监督管理。</w:t>
      </w:r>
      <w:r>
        <w:rPr>
          <w:rFonts w:hint="eastAsia" w:ascii="宋体" w:hAnsi="宋体" w:eastAsia="宋体" w:cs="宋体"/>
          <w:color w:val="000000"/>
          <w:sz w:val="24"/>
          <w:szCs w:val="24"/>
          <w:highlight w:val="none"/>
        </w:rPr>
        <w:t>成交人</w:t>
      </w:r>
      <w:r>
        <w:rPr>
          <w:rFonts w:hint="eastAsia" w:ascii="宋体" w:hAnsi="宋体" w:eastAsia="宋体" w:cs="仿宋"/>
          <w:sz w:val="24"/>
          <w:szCs w:val="24"/>
          <w:highlight w:val="none"/>
        </w:rPr>
        <w:t>不得从事餐饮以外的其它业务（如经营超市等），不得经营超出自身经营条件的餐饮项目。</w:t>
      </w:r>
    </w:p>
    <w:p>
      <w:pPr>
        <w:spacing w:line="276" w:lineRule="auto"/>
        <w:ind w:firstLine="480" w:firstLineChars="200"/>
        <w:jc w:val="left"/>
        <w:rPr>
          <w:rFonts w:ascii="宋体" w:hAnsi="宋体" w:eastAsia="宋体" w:cs="仿宋"/>
          <w:sz w:val="24"/>
          <w:szCs w:val="24"/>
          <w:highlight w:val="none"/>
        </w:rPr>
      </w:pPr>
      <w:r>
        <w:rPr>
          <w:rFonts w:ascii="宋体" w:hAnsi="宋体" w:eastAsia="宋体" w:cs="仿宋"/>
          <w:sz w:val="24"/>
          <w:szCs w:val="24"/>
          <w:highlight w:val="none"/>
        </w:rPr>
        <w:t>11</w:t>
      </w:r>
      <w:r>
        <w:rPr>
          <w:rFonts w:hint="eastAsia" w:ascii="宋体" w:hAnsi="宋体" w:eastAsia="宋体" w:cs="仿宋"/>
          <w:sz w:val="24"/>
          <w:szCs w:val="24"/>
          <w:highlight w:val="none"/>
        </w:rPr>
        <w:t>.</w:t>
      </w:r>
      <w:r>
        <w:rPr>
          <w:rFonts w:hint="eastAsia" w:ascii="宋体" w:hAnsi="宋体" w:eastAsia="宋体" w:cs="宋体"/>
          <w:color w:val="000000"/>
          <w:sz w:val="24"/>
          <w:szCs w:val="24"/>
          <w:highlight w:val="none"/>
        </w:rPr>
        <w:t>成交人</w:t>
      </w:r>
      <w:r>
        <w:rPr>
          <w:rFonts w:hint="eastAsia" w:ascii="宋体" w:hAnsi="宋体" w:eastAsia="宋体" w:cs="仿宋"/>
          <w:sz w:val="24"/>
          <w:szCs w:val="24"/>
          <w:highlight w:val="none"/>
        </w:rPr>
        <w:t>须直接管理和经营食堂，食堂所有窗口须一体化管理，不得分包或转包。校方定期或不定期对所有工作人员的聘用合同、缴纳社保的材料、上岗情况及工资流水进行查验。不得在食堂内非窗口场所、食堂周边、校园内摆摊设点，不得破坏食堂整体格局、外观和使用功能。</w:t>
      </w:r>
    </w:p>
    <w:p>
      <w:pPr>
        <w:spacing w:line="276" w:lineRule="auto"/>
        <w:ind w:firstLine="480" w:firstLineChars="200"/>
        <w:jc w:val="left"/>
        <w:rPr>
          <w:rFonts w:ascii="宋体" w:hAnsi="宋体" w:eastAsia="宋体" w:cs="仿宋"/>
          <w:sz w:val="24"/>
          <w:szCs w:val="24"/>
          <w:highlight w:val="none"/>
        </w:rPr>
      </w:pPr>
      <w:r>
        <w:rPr>
          <w:rFonts w:ascii="宋体" w:hAnsi="宋体" w:eastAsia="宋体" w:cs="仿宋"/>
          <w:sz w:val="24"/>
          <w:szCs w:val="24"/>
          <w:highlight w:val="none"/>
        </w:rPr>
        <w:t>12.</w:t>
      </w:r>
      <w:r>
        <w:rPr>
          <w:rFonts w:hint="eastAsia" w:ascii="宋体" w:hAnsi="宋体" w:eastAsia="宋体" w:cs="宋体"/>
          <w:color w:val="000000"/>
          <w:sz w:val="24"/>
          <w:szCs w:val="24"/>
          <w:highlight w:val="none"/>
        </w:rPr>
        <w:t>成交人</w:t>
      </w:r>
      <w:r>
        <w:rPr>
          <w:rFonts w:hint="eastAsia" w:ascii="宋体" w:hAnsi="宋体" w:eastAsia="宋体" w:cs="仿宋"/>
          <w:sz w:val="24"/>
          <w:szCs w:val="24"/>
          <w:highlight w:val="none"/>
        </w:rPr>
        <w:t>须注重食品安全卫生管理，严格执行国家、政府行政主管部门、学校对食品安全生产的法律、法规、规章制度的要求，有健全的食品安全管理制度，有食品安全管理团队，有完备的食品安全事故处置预案。不得在食堂内使用、销售预制菜。</w:t>
      </w:r>
    </w:p>
    <w:p>
      <w:pPr>
        <w:spacing w:line="276" w:lineRule="auto"/>
        <w:ind w:firstLine="480" w:firstLineChars="200"/>
        <w:jc w:val="left"/>
        <w:rPr>
          <w:rFonts w:ascii="宋体" w:hAnsi="宋体" w:eastAsia="宋体" w:cs="仿宋"/>
          <w:sz w:val="24"/>
          <w:szCs w:val="24"/>
          <w:highlight w:val="none"/>
        </w:rPr>
      </w:pPr>
      <w:r>
        <w:rPr>
          <w:rFonts w:ascii="宋体" w:hAnsi="宋体" w:eastAsia="宋体" w:cs="仿宋"/>
          <w:sz w:val="24"/>
          <w:szCs w:val="24"/>
          <w:highlight w:val="none"/>
        </w:rPr>
        <w:t>13.</w:t>
      </w:r>
      <w:r>
        <w:rPr>
          <w:rFonts w:hint="eastAsia" w:ascii="宋体" w:hAnsi="宋体" w:eastAsia="宋体" w:cs="宋体"/>
          <w:color w:val="000000"/>
          <w:sz w:val="24"/>
          <w:szCs w:val="24"/>
          <w:highlight w:val="none"/>
        </w:rPr>
        <w:t>成交人</w:t>
      </w:r>
      <w:r>
        <w:rPr>
          <w:rFonts w:hint="eastAsia" w:ascii="宋体" w:hAnsi="宋体" w:eastAsia="宋体" w:cs="仿宋"/>
          <w:sz w:val="24"/>
          <w:szCs w:val="24"/>
          <w:highlight w:val="none"/>
        </w:rPr>
        <w:t>服从政府相关部门和学校的监督管理和指导，自行承担经营责任和风险。</w:t>
      </w:r>
      <w:r>
        <w:rPr>
          <w:rFonts w:hint="eastAsia" w:ascii="宋体" w:hAnsi="宋体" w:eastAsia="宋体" w:cs="宋体"/>
          <w:color w:val="000000"/>
          <w:sz w:val="24"/>
          <w:szCs w:val="24"/>
          <w:highlight w:val="none"/>
        </w:rPr>
        <w:t>成交人</w:t>
      </w:r>
      <w:r>
        <w:rPr>
          <w:rFonts w:hint="eastAsia" w:ascii="宋体" w:hAnsi="宋体" w:eastAsia="宋体" w:cs="仿宋"/>
          <w:sz w:val="24"/>
          <w:szCs w:val="24"/>
          <w:highlight w:val="none"/>
        </w:rPr>
        <w:t>须依法用工，工资待遇和社会保险按国家规定执行；</w:t>
      </w:r>
      <w:r>
        <w:rPr>
          <w:rFonts w:hint="eastAsia" w:ascii="宋体" w:hAnsi="宋体" w:eastAsia="宋体" w:cs="宋体"/>
          <w:color w:val="000000"/>
          <w:sz w:val="24"/>
          <w:szCs w:val="24"/>
          <w:highlight w:val="none"/>
        </w:rPr>
        <w:t>成交人</w:t>
      </w:r>
      <w:r>
        <w:rPr>
          <w:rFonts w:hint="eastAsia" w:ascii="宋体" w:hAnsi="宋体" w:eastAsia="宋体" w:cs="仿宋"/>
          <w:sz w:val="24"/>
          <w:szCs w:val="24"/>
          <w:highlight w:val="none"/>
        </w:rPr>
        <w:t>不得拖欠员工工资和第三方货物等经营款项，自行负责妥善处理各类纠纷（含用工纠纷）和投诉，并自行承担由此造成的一切经济、安全责任和法律责任；</w:t>
      </w:r>
      <w:r>
        <w:rPr>
          <w:rFonts w:hint="eastAsia" w:ascii="宋体" w:hAnsi="宋体" w:eastAsia="宋体" w:cs="宋体"/>
          <w:color w:val="000000"/>
          <w:sz w:val="24"/>
          <w:szCs w:val="24"/>
          <w:highlight w:val="none"/>
        </w:rPr>
        <w:t>成交人</w:t>
      </w:r>
      <w:r>
        <w:rPr>
          <w:rFonts w:hint="eastAsia" w:ascii="宋体" w:hAnsi="宋体" w:eastAsia="宋体" w:cs="仿宋"/>
          <w:sz w:val="24"/>
          <w:szCs w:val="24"/>
          <w:highlight w:val="none"/>
        </w:rPr>
        <w:t>自行承担员工和经营过程中发生的人身财产安全、食品卫生、消防安全等事故造成的一切经济、行政和法律责任。</w:t>
      </w:r>
    </w:p>
    <w:p>
      <w:pPr>
        <w:spacing w:line="276" w:lineRule="auto"/>
        <w:ind w:firstLine="480" w:firstLineChars="200"/>
        <w:jc w:val="left"/>
        <w:rPr>
          <w:rFonts w:ascii="宋体" w:hAnsi="宋体" w:eastAsia="宋体" w:cs="仿宋"/>
          <w:sz w:val="24"/>
          <w:szCs w:val="24"/>
          <w:highlight w:val="none"/>
        </w:rPr>
      </w:pPr>
      <w:r>
        <w:rPr>
          <w:rFonts w:ascii="宋体" w:hAnsi="宋体" w:eastAsia="宋体" w:cs="仿宋"/>
          <w:sz w:val="24"/>
          <w:szCs w:val="24"/>
          <w:highlight w:val="none"/>
        </w:rPr>
        <w:t>14.</w:t>
      </w:r>
      <w:r>
        <w:rPr>
          <w:rFonts w:hint="eastAsia" w:ascii="宋体" w:hAnsi="宋体" w:eastAsia="宋体" w:cs="仿宋"/>
          <w:sz w:val="24"/>
          <w:szCs w:val="24"/>
          <w:highlight w:val="none"/>
        </w:rPr>
        <w:t>校方需要</w:t>
      </w:r>
      <w:r>
        <w:rPr>
          <w:rFonts w:hint="eastAsia" w:ascii="宋体" w:hAnsi="宋体" w:eastAsia="宋体" w:cs="宋体"/>
          <w:color w:val="000000"/>
          <w:sz w:val="24"/>
          <w:szCs w:val="24"/>
          <w:highlight w:val="none"/>
        </w:rPr>
        <w:t>成交人</w:t>
      </w:r>
      <w:r>
        <w:rPr>
          <w:rFonts w:hint="eastAsia" w:ascii="宋体" w:hAnsi="宋体" w:eastAsia="宋体" w:cs="仿宋"/>
          <w:sz w:val="24"/>
          <w:szCs w:val="24"/>
          <w:highlight w:val="none"/>
        </w:rPr>
        <w:t>寒暑假营业的，</w:t>
      </w:r>
      <w:r>
        <w:rPr>
          <w:rFonts w:hint="eastAsia" w:ascii="宋体" w:hAnsi="宋体" w:eastAsia="宋体" w:cs="宋体"/>
          <w:color w:val="000000"/>
          <w:sz w:val="24"/>
          <w:szCs w:val="24"/>
          <w:highlight w:val="none"/>
        </w:rPr>
        <w:t>成交人</w:t>
      </w:r>
      <w:r>
        <w:rPr>
          <w:rFonts w:hint="eastAsia" w:ascii="宋体" w:hAnsi="宋体" w:eastAsia="宋体" w:cs="仿宋"/>
          <w:sz w:val="24"/>
          <w:szCs w:val="24"/>
          <w:highlight w:val="none"/>
        </w:rPr>
        <w:t>须无条件服从校方安排。</w:t>
      </w:r>
    </w:p>
    <w:p>
      <w:pPr>
        <w:spacing w:line="276" w:lineRule="auto"/>
        <w:ind w:firstLine="480" w:firstLineChars="200"/>
        <w:jc w:val="left"/>
        <w:rPr>
          <w:rFonts w:ascii="宋体" w:hAnsi="宋体" w:eastAsia="宋体" w:cs="仿宋"/>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5.</w:t>
      </w:r>
      <w:r>
        <w:rPr>
          <w:rFonts w:hint="eastAsia" w:ascii="宋体" w:hAnsi="宋体" w:eastAsia="宋体" w:cs="仿宋"/>
          <w:sz w:val="24"/>
          <w:szCs w:val="24"/>
          <w:highlight w:val="none"/>
        </w:rPr>
        <w:t xml:space="preserve"> 食材采购要求：</w:t>
      </w:r>
    </w:p>
    <w:p>
      <w:pPr>
        <w:spacing w:line="276" w:lineRule="auto"/>
        <w:ind w:firstLine="480" w:firstLineChars="200"/>
        <w:jc w:val="left"/>
        <w:rPr>
          <w:rFonts w:ascii="宋体" w:hAnsi="宋体" w:eastAsia="宋体" w:cs="仿宋"/>
          <w:sz w:val="24"/>
          <w:szCs w:val="24"/>
          <w:highlight w:val="none"/>
        </w:rPr>
      </w:pPr>
      <w:r>
        <w:rPr>
          <w:rFonts w:ascii="宋体" w:hAnsi="宋体" w:eastAsia="宋体" w:cs="仿宋"/>
          <w:sz w:val="24"/>
          <w:szCs w:val="24"/>
          <w:highlight w:val="none"/>
        </w:rPr>
        <w:t>15.1</w:t>
      </w:r>
      <w:r>
        <w:rPr>
          <w:rFonts w:hint="eastAsia" w:ascii="宋体" w:hAnsi="宋体" w:eastAsia="宋体" w:cs="仿宋"/>
          <w:sz w:val="24"/>
          <w:szCs w:val="24"/>
          <w:highlight w:val="none"/>
        </w:rPr>
        <w:t>成交人进销存管理系统需无条件向学校开放管理权限，在系统中建立所有食材（主料、辅料、调料）进货、出货台账，学校根据该系统数据对</w:t>
      </w:r>
      <w:r>
        <w:rPr>
          <w:rFonts w:hint="eastAsia" w:ascii="宋体" w:hAnsi="宋体" w:eastAsia="宋体" w:cs="宋体"/>
          <w:color w:val="000000"/>
          <w:sz w:val="24"/>
          <w:szCs w:val="24"/>
          <w:highlight w:val="none"/>
        </w:rPr>
        <w:t>成交人</w:t>
      </w:r>
      <w:r>
        <w:rPr>
          <w:rFonts w:hint="eastAsia" w:ascii="宋体" w:hAnsi="宋体" w:eastAsia="宋体" w:cs="仿宋"/>
          <w:sz w:val="24"/>
          <w:szCs w:val="24"/>
          <w:highlight w:val="none"/>
        </w:rPr>
        <w:t>进行成本核算。使用学校进销存管理系统的，开通账号所需费用由</w:t>
      </w:r>
      <w:r>
        <w:rPr>
          <w:rFonts w:hint="eastAsia" w:ascii="宋体" w:hAnsi="宋体" w:eastAsia="宋体" w:cs="宋体"/>
          <w:color w:val="000000"/>
          <w:sz w:val="24"/>
          <w:szCs w:val="24"/>
          <w:highlight w:val="none"/>
        </w:rPr>
        <w:t>成交人</w:t>
      </w:r>
      <w:r>
        <w:rPr>
          <w:rFonts w:hint="eastAsia" w:ascii="宋体" w:hAnsi="宋体" w:eastAsia="宋体" w:cs="仿宋"/>
          <w:sz w:val="24"/>
          <w:szCs w:val="24"/>
          <w:highlight w:val="none"/>
        </w:rPr>
        <w:t>承担。</w:t>
      </w:r>
      <w:r>
        <w:rPr>
          <w:rFonts w:hint="eastAsia" w:ascii="宋体" w:hAnsi="宋体" w:eastAsia="宋体" w:cs="宋体"/>
          <w:color w:val="000000"/>
          <w:sz w:val="24"/>
          <w:szCs w:val="24"/>
          <w:highlight w:val="none"/>
        </w:rPr>
        <w:t>成交人</w:t>
      </w:r>
      <w:r>
        <w:rPr>
          <w:rFonts w:hint="eastAsia" w:ascii="宋体" w:hAnsi="宋体" w:eastAsia="宋体" w:cs="仿宋"/>
          <w:sz w:val="24"/>
          <w:szCs w:val="24"/>
          <w:highlight w:val="none"/>
        </w:rPr>
        <w:t>须安排专人（详细人员信息包含但不限于姓名、身份证号及联系电话等）负责管理进销存系统，确保每天进货、出货数据及时更新，保证食材种类、数量与系统数据一致。</w:t>
      </w:r>
    </w:p>
    <w:p>
      <w:pPr>
        <w:spacing w:line="276" w:lineRule="auto"/>
        <w:ind w:firstLine="480" w:firstLineChars="200"/>
        <w:jc w:val="left"/>
        <w:rPr>
          <w:rFonts w:ascii="宋体" w:hAnsi="宋体" w:eastAsia="宋体" w:cs="仿宋"/>
          <w:sz w:val="24"/>
          <w:szCs w:val="24"/>
          <w:highlight w:val="none"/>
        </w:rPr>
      </w:pPr>
      <w:r>
        <w:rPr>
          <w:rFonts w:ascii="宋体" w:hAnsi="宋体" w:eastAsia="宋体" w:cs="仿宋"/>
          <w:sz w:val="24"/>
          <w:szCs w:val="24"/>
          <w:highlight w:val="none"/>
        </w:rPr>
        <w:t>15.2</w:t>
      </w:r>
      <w:r>
        <w:rPr>
          <w:rFonts w:hint="eastAsia" w:ascii="宋体" w:hAnsi="宋体" w:eastAsia="宋体" w:cs="宋体"/>
          <w:color w:val="000000"/>
          <w:sz w:val="24"/>
          <w:szCs w:val="24"/>
          <w:highlight w:val="none"/>
        </w:rPr>
        <w:t>成交人</w:t>
      </w:r>
      <w:r>
        <w:rPr>
          <w:rFonts w:hint="eastAsia" w:ascii="宋体" w:hAnsi="宋体" w:eastAsia="宋体" w:cs="仿宋"/>
          <w:sz w:val="24"/>
          <w:szCs w:val="24"/>
          <w:highlight w:val="none"/>
        </w:rPr>
        <w:t>严把食材采购关，建立溯源制度，保证各类食材供应商资质符合学校要求，并将相应证照复印件收集完整，报学校备案。参竞文件中须明确原材料的采购途径和保障原材料质量的措施。</w:t>
      </w:r>
    </w:p>
    <w:p>
      <w:pPr>
        <w:spacing w:line="276" w:lineRule="auto"/>
        <w:ind w:firstLine="480" w:firstLineChars="200"/>
        <w:jc w:val="left"/>
        <w:rPr>
          <w:rFonts w:ascii="宋体" w:hAnsi="宋体" w:eastAsia="宋体" w:cs="仿宋"/>
          <w:sz w:val="24"/>
          <w:szCs w:val="24"/>
          <w:highlight w:val="none"/>
        </w:rPr>
      </w:pPr>
      <w:r>
        <w:rPr>
          <w:rFonts w:ascii="宋体" w:hAnsi="宋体" w:eastAsia="宋体" w:cs="仿宋"/>
          <w:sz w:val="24"/>
          <w:szCs w:val="24"/>
          <w:highlight w:val="none"/>
        </w:rPr>
        <w:t>15.3</w:t>
      </w:r>
      <w:r>
        <w:rPr>
          <w:rFonts w:hint="eastAsia" w:ascii="宋体" w:hAnsi="宋体" w:eastAsia="宋体" w:cs="仿宋"/>
          <w:sz w:val="24"/>
          <w:szCs w:val="24"/>
          <w:highlight w:val="none"/>
        </w:rPr>
        <w:t>餐饮原材料的采购须严格执行索证验证制度，并建立台帐，保留购买的每批次货物生产厂家的营业执照、卫生许可证等相关证明，应保存至少二年以上，以备查验。</w:t>
      </w:r>
    </w:p>
    <w:p>
      <w:pPr>
        <w:spacing w:line="276" w:lineRule="auto"/>
        <w:ind w:firstLine="480" w:firstLineChars="200"/>
        <w:jc w:val="left"/>
        <w:rPr>
          <w:rFonts w:ascii="宋体" w:hAnsi="宋体" w:eastAsia="宋体" w:cs="仿宋"/>
          <w:sz w:val="24"/>
          <w:szCs w:val="24"/>
          <w:highlight w:val="none"/>
        </w:rPr>
      </w:pPr>
      <w:r>
        <w:rPr>
          <w:rFonts w:ascii="宋体" w:hAnsi="宋体" w:eastAsia="宋体" w:cs="仿宋"/>
          <w:sz w:val="24"/>
          <w:szCs w:val="24"/>
          <w:highlight w:val="none"/>
        </w:rPr>
        <w:t>15.4</w:t>
      </w:r>
      <w:r>
        <w:rPr>
          <w:rFonts w:hint="eastAsia" w:ascii="宋体" w:hAnsi="宋体" w:eastAsia="宋体" w:cs="仿宋"/>
          <w:sz w:val="24"/>
          <w:szCs w:val="24"/>
          <w:highlight w:val="none"/>
        </w:rPr>
        <w:t>学校随机检查</w:t>
      </w:r>
      <w:r>
        <w:rPr>
          <w:rFonts w:hint="eastAsia" w:ascii="宋体" w:hAnsi="宋体" w:eastAsia="宋体" w:cs="宋体"/>
          <w:color w:val="000000"/>
          <w:sz w:val="24"/>
          <w:szCs w:val="24"/>
          <w:highlight w:val="none"/>
        </w:rPr>
        <w:t>成交人</w:t>
      </w:r>
      <w:r>
        <w:rPr>
          <w:rFonts w:hint="eastAsia" w:ascii="宋体" w:hAnsi="宋体" w:eastAsia="宋体" w:cs="仿宋"/>
          <w:sz w:val="24"/>
          <w:szCs w:val="24"/>
          <w:highlight w:val="none"/>
        </w:rPr>
        <w:t>的伙食原材料采购情况，包括但不限于供应商合同、发票、支付凭证等文件资料，对伙食原料必要时有权委托第三方进行检验检测，并由</w:t>
      </w:r>
      <w:r>
        <w:rPr>
          <w:rFonts w:hint="eastAsia" w:ascii="宋体" w:hAnsi="宋体" w:eastAsia="宋体" w:cs="宋体"/>
          <w:color w:val="000000"/>
          <w:sz w:val="24"/>
          <w:szCs w:val="24"/>
          <w:highlight w:val="none"/>
        </w:rPr>
        <w:t>成交人</w:t>
      </w:r>
      <w:r>
        <w:rPr>
          <w:rFonts w:hint="eastAsia" w:ascii="宋体" w:hAnsi="宋体" w:eastAsia="宋体" w:cs="仿宋"/>
          <w:sz w:val="24"/>
          <w:szCs w:val="24"/>
          <w:highlight w:val="none"/>
        </w:rPr>
        <w:t>承担检验检测费；检验检测不合格的，</w:t>
      </w:r>
      <w:r>
        <w:rPr>
          <w:rFonts w:hint="eastAsia" w:ascii="宋体" w:hAnsi="宋体" w:eastAsia="宋体" w:cs="宋体"/>
          <w:color w:val="000000"/>
          <w:sz w:val="24"/>
          <w:szCs w:val="24"/>
          <w:highlight w:val="none"/>
        </w:rPr>
        <w:t>成交人</w:t>
      </w:r>
      <w:r>
        <w:rPr>
          <w:rFonts w:hint="eastAsia" w:ascii="宋体" w:hAnsi="宋体" w:eastAsia="宋体" w:cs="仿宋"/>
          <w:sz w:val="24"/>
          <w:szCs w:val="24"/>
          <w:highlight w:val="none"/>
        </w:rPr>
        <w:t>承担所有相关责任。</w:t>
      </w:r>
      <w:r>
        <w:rPr>
          <w:rFonts w:hint="eastAsia" w:ascii="宋体" w:hAnsi="宋体" w:eastAsia="宋体" w:cs="宋体"/>
          <w:color w:val="000000"/>
          <w:sz w:val="24"/>
          <w:szCs w:val="24"/>
          <w:highlight w:val="none"/>
        </w:rPr>
        <w:t>成交人</w:t>
      </w:r>
      <w:r>
        <w:rPr>
          <w:rFonts w:hint="eastAsia" w:ascii="宋体" w:hAnsi="宋体" w:eastAsia="宋体" w:cs="仿宋"/>
          <w:sz w:val="24"/>
          <w:szCs w:val="24"/>
          <w:highlight w:val="none"/>
        </w:rPr>
        <w:t>需积极配合学校开展此项工作，不得推诿、拒绝，否则视为违约。</w:t>
      </w:r>
    </w:p>
    <w:p>
      <w:pPr>
        <w:spacing w:line="276" w:lineRule="auto"/>
        <w:ind w:firstLine="480" w:firstLineChars="200"/>
        <w:jc w:val="left"/>
        <w:rPr>
          <w:rFonts w:ascii="宋体" w:hAnsi="宋体" w:eastAsia="宋体" w:cs="仿宋"/>
          <w:sz w:val="24"/>
          <w:szCs w:val="24"/>
          <w:highlight w:val="none"/>
        </w:rPr>
      </w:pPr>
      <w:r>
        <w:rPr>
          <w:rFonts w:ascii="宋体" w:hAnsi="宋体" w:eastAsia="宋体" w:cs="仿宋"/>
          <w:sz w:val="24"/>
          <w:szCs w:val="24"/>
          <w:highlight w:val="none"/>
        </w:rPr>
        <w:t>15.5</w:t>
      </w:r>
      <w:r>
        <w:rPr>
          <w:rFonts w:hint="eastAsia" w:ascii="宋体" w:hAnsi="宋体" w:eastAsia="宋体" w:cs="宋体"/>
          <w:color w:val="000000"/>
          <w:sz w:val="24"/>
          <w:szCs w:val="24"/>
          <w:highlight w:val="none"/>
        </w:rPr>
        <w:t>成交人</w:t>
      </w:r>
      <w:r>
        <w:rPr>
          <w:rFonts w:hint="eastAsia" w:ascii="宋体" w:hAnsi="宋体" w:eastAsia="宋体" w:cs="仿宋"/>
          <w:sz w:val="24"/>
          <w:szCs w:val="24"/>
          <w:highlight w:val="none"/>
        </w:rPr>
        <w:t>烹制饭菜所用的原材料、调味品等应符合国家有关规定，严禁使用非食用辅助材料、非食用添加剂和转基因原材料。</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6.</w:t>
      </w:r>
      <w:r>
        <w:rPr>
          <w:rFonts w:hint="eastAsia" w:ascii="宋体" w:hAnsi="宋体" w:eastAsia="宋体" w:cs="宋体"/>
          <w:sz w:val="24"/>
          <w:szCs w:val="24"/>
          <w:highlight w:val="none"/>
        </w:rPr>
        <w:t>食堂消防安全要求</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成交人应取得消防安全合格验收和消防部门出具的合法经营手续，相关费用由</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支付。</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成交人需按高校食堂有关消防规则要求安装火灾报警联动系统、烟雾感应设备、自动喷淋系统、应急照明与疏散指示系统、消火栓系统等必须消防设施设备，以上设备需接入现有学校消防系统；按消防要求，成交人配置足够的灭火器材和疏散引导箱。成交人需按消防和物业管理条例自行完备添置消防设备设施。</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必须按消防法规相关要求，确保原有消防通道畅通、设施设备完好及标识标牌醒目。</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全面负责食堂内的防火、防盗工作和员工的管理工作，认真履行安全职责，不得占用消防通道、遮挡消防设施设备及标牌。注意用水、用电、用气的安全，并做好定期相关培训。配合学校及国家相关部门定期安全检查，发现安全隐患立即整改。若</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出现食堂消防安全事故的，按相关管理规定进行处理。</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7.</w:t>
      </w:r>
      <w:r>
        <w:rPr>
          <w:rFonts w:hint="eastAsia" w:ascii="宋体" w:hAnsi="宋体" w:eastAsia="宋体" w:cs="宋体"/>
          <w:sz w:val="24"/>
          <w:szCs w:val="24"/>
          <w:highlight w:val="none"/>
        </w:rPr>
        <w:t>食堂环境改善要求</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在经营管理场地范围内，须根据学校提供的食堂规划分区示意图（见附件</w:t>
      </w:r>
      <w:r>
        <w:rPr>
          <w:rFonts w:ascii="宋体" w:hAnsi="宋体" w:eastAsia="宋体" w:cs="宋体"/>
          <w:sz w:val="24"/>
          <w:szCs w:val="24"/>
          <w:highlight w:val="none"/>
        </w:rPr>
        <w:t>5</w:t>
      </w:r>
      <w:r>
        <w:rPr>
          <w:rFonts w:hint="eastAsia" w:ascii="宋体" w:hAnsi="宋体" w:eastAsia="宋体" w:cs="宋体"/>
          <w:sz w:val="24"/>
          <w:szCs w:val="24"/>
          <w:highlight w:val="none"/>
        </w:rPr>
        <w:t>、6），在保证建筑结构安全、符合消防要求的前提下，自行负责按食品卫生相关要求对库房、粗加工间、操作间、就餐区等进行合理布局和改造，但不得超出食堂墙体，不得违规搭建。食堂功能分区、基本大伙餐档口的位置和面积要求等需与食堂规划分区示意图一致。</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color w:val="000000"/>
          <w:sz w:val="24"/>
          <w:szCs w:val="24"/>
          <w:highlight w:val="none"/>
        </w:rPr>
        <w:t>成交人需根据学校提供的</w:t>
      </w:r>
      <w:r>
        <w:rPr>
          <w:rFonts w:hint="eastAsia" w:ascii="宋体" w:hAnsi="宋体" w:eastAsia="宋体" w:cs="宋体"/>
          <w:sz w:val="24"/>
          <w:szCs w:val="24"/>
          <w:highlight w:val="none"/>
        </w:rPr>
        <w:t>食堂规划分区示意图</w:t>
      </w:r>
      <w:r>
        <w:rPr>
          <w:rFonts w:hint="eastAsia" w:ascii="宋体" w:hAnsi="宋体" w:eastAsia="宋体" w:cs="宋体"/>
          <w:color w:val="000000"/>
          <w:sz w:val="24"/>
          <w:szCs w:val="24"/>
          <w:highlight w:val="none"/>
        </w:rPr>
        <w:t>进行</w:t>
      </w:r>
      <w:r>
        <w:rPr>
          <w:rFonts w:hint="eastAsia" w:ascii="宋体" w:hAnsi="宋体" w:eastAsia="宋体" w:cs="宋体"/>
          <w:sz w:val="24"/>
          <w:szCs w:val="24"/>
          <w:highlight w:val="none"/>
        </w:rPr>
        <w:t>环境改善设计，设计方案与参竞方案一致，施工图需要按有关规定送审，学校配合其做相关工作。施工前须向学校提交设计方案及图纸并及时报送辖区食品监督管理部门备案。方案必须符合食品卫生和食品加工规范、建筑、消防、环保安全要求，且经学校相关工作小组审核备案签署书面意见后方可实施，并承担全部费用。环境改善由具有相应资质的单位设计、施工，设计图纸需要学校审查同意并不得随意更改，施工过程中确需调整必须报经学校同意，施工单位资质和竣工图纸需报学校备案存档，</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自行承担施工过程中的安全事故责任，而与学校无关。</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需在食堂工程建设完工投入营运后三个月内提供环境改善与施工改造工程的竣工图纸、工程结算书（采用工程量清单计价方式编制）和投入系统及设备等结算书（须列明厂家、型号、规格、材质和附图列），并结合审计实际要求提供相应的材料，如货物采购合同或发票、票据、支付凭证、运输单等佐证材料。从重庆市政府采购云平台中选取第三方机构审计（此费用由</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负责），审计结算金额即为实际投入资金。如实际投入资金低于</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在参竞时承诺的环境改善投入资金，</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须根据校方的改造意见限期补齐投入差额或者</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用现金方式向四川外国语大学补缴投入差额，用于食堂进一步环境改造与美化改造。如不履行，视为</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虚假响应，校方有权取消</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的经营权，环境改善保证金不予退回，</w:t>
      </w:r>
      <w:r>
        <w:rPr>
          <w:rFonts w:hint="eastAsia" w:ascii="宋体" w:hAnsi="宋体" w:eastAsia="宋体" w:cs="宋体"/>
          <w:color w:val="000000"/>
          <w:sz w:val="24"/>
          <w:szCs w:val="24"/>
          <w:highlight w:val="none"/>
        </w:rPr>
        <w:t>成交人的</w:t>
      </w:r>
      <w:r>
        <w:rPr>
          <w:rFonts w:hint="eastAsia" w:ascii="宋体" w:hAnsi="宋体" w:eastAsia="宋体" w:cs="宋体"/>
          <w:sz w:val="24"/>
          <w:szCs w:val="24"/>
          <w:highlight w:val="none"/>
        </w:rPr>
        <w:t>所有投入费用不能请求赔偿、补偿，责任由</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全部承担。</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学校现食堂固定资产设备应作为联合经营成本，以有偿方式提供给成交人使用，设备最终清单由成交人与学校清点并确定正常使用后，在合同中进行约定。合同期内所有设备由成交人全权负责，包括但不限于日常管理、安全生产、维修保养等相关事宜，所涉的运营费用、安全责任和经济责任等均由成交人负责，与校方无关。联合经营期结束后所有设备交还校方，其中必须保证未达报废期设备完好，可正常使用，其余设备不得有人为破坏的情况发生。</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设备配置具体要求如下：</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7.1</w:t>
      </w:r>
      <w:r>
        <w:rPr>
          <w:rFonts w:hint="eastAsia" w:ascii="宋体" w:hAnsi="宋体" w:eastAsia="宋体" w:cs="宋体"/>
          <w:sz w:val="24"/>
          <w:szCs w:val="24"/>
          <w:highlight w:val="none"/>
        </w:rPr>
        <w:t>燃气安装</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根据天然气公司要求，天然气管道需采用不锈钢管道敷设，采用专用燃气不锈钢波纹管与灶具连接，并按燃气公司验收要求安装燃气报警系统设备，主要设备（燃气报警探测器、燃气报警控制器、燃气紧急切断电磁阀）必须具有消防及燃气相关安全认证（以燃气公司或消防部门认定为准），设备具体数量根据《城镇燃气设计规范》（GB50028-2006）《安全防范工程程序与要求》（GA/T15-94）等相关国家或行业要求确定，以燃气公司认定为准。装设天然气报警装置（符合国家燃气行业《特殊用气场所安全管理规定》、《城镇燃气报警控制系统技术规范》要求）。经营食堂过程中，如需开通天然气账户和缴费等，由</w:t>
      </w:r>
      <w:r>
        <w:rPr>
          <w:rFonts w:hint="eastAsia" w:ascii="宋体" w:hAnsi="宋体" w:eastAsia="宋体" w:cs="宋体"/>
          <w:color w:val="000000"/>
          <w:sz w:val="24"/>
          <w:szCs w:val="24"/>
          <w:highlight w:val="none"/>
        </w:rPr>
        <w:t>成交人自行承担。</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必须设置自动灭火装置。按照《建筑设计防火规范》GB 50016—2014 （2018年版） 8.3.11要求：餐厅建筑面积大于1000㎡的餐馆或食堂，其烹饪操作间的排油烟罩及烹饪部位应设置自动灭火装置，并应在燃气或燃油管道上设置与自动灭火装置联动的自动切断装置。</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7.2</w:t>
      </w:r>
      <w:r>
        <w:rPr>
          <w:rFonts w:hint="eastAsia" w:ascii="宋体" w:hAnsi="宋体" w:eastAsia="宋体" w:cs="宋体"/>
          <w:sz w:val="24"/>
          <w:szCs w:val="24"/>
          <w:highlight w:val="none"/>
        </w:rPr>
        <w:t>油烟抽排</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抽排净化系统改造由具有相应资质的单位设计施工，需提供国家环保达标检测报告。为保证食品安全，成交人必须按规定每季度聘请专业公司对油烟抽排系统进行清洗维护，达到国家消防及环保的要求，并承担相应的费用，日常油烟抽排设备等启动运行产生的噪音须控制在环保规定标准内，超过环保规定标准后引起学生及周边居民投诉须整改到位。</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7.3</w:t>
      </w:r>
      <w:r>
        <w:rPr>
          <w:rFonts w:hint="eastAsia" w:ascii="宋体" w:hAnsi="宋体" w:eastAsia="宋体" w:cs="宋体"/>
          <w:sz w:val="24"/>
          <w:szCs w:val="24"/>
          <w:highlight w:val="none"/>
        </w:rPr>
        <w:t>后厨</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食堂内部功能布局合理，达到食品卫生、消防相关政策和法规要求。后厨平面布置图需通过市场监管局审定。只考虑员工值班室，不得住宿。</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7.4</w:t>
      </w:r>
      <w:r>
        <w:rPr>
          <w:rFonts w:hint="eastAsia" w:ascii="宋体" w:hAnsi="宋体" w:eastAsia="宋体" w:cs="宋体"/>
          <w:sz w:val="24"/>
          <w:szCs w:val="24"/>
          <w:highlight w:val="none"/>
        </w:rPr>
        <w:t>能源计量要求</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水电在学校指定表后自行安装,食堂内部所有设备使用功率原则上不得超过学校规定用电负荷。</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17.5</w:t>
      </w:r>
      <w:r>
        <w:rPr>
          <w:rFonts w:hint="eastAsia" w:ascii="宋体" w:hAnsi="宋体" w:eastAsia="宋体" w:cs="宋体"/>
          <w:sz w:val="24"/>
          <w:szCs w:val="24"/>
          <w:highlight w:val="none"/>
        </w:rPr>
        <w:t>防水处理</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严格按照国家相关规范进行防水处理，装修后必须保证楼层防水处理达到要求。</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17.6</w:t>
      </w:r>
      <w:r>
        <w:rPr>
          <w:rFonts w:hint="eastAsia" w:ascii="宋体" w:hAnsi="宋体" w:eastAsia="宋体" w:cs="宋体"/>
          <w:sz w:val="24"/>
          <w:szCs w:val="24"/>
          <w:highlight w:val="none"/>
        </w:rPr>
        <w:t>食堂环境改善</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环境改善设计方案符合学校校园文化，具有“川外”元素，风格新颖，打造社交休闲空间，环境优雅舒适，设计合理（需提供装修效果图）。</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按相关规定办理工程施工许可证及消防审批事宜。食堂内部可以重新修缮改造但不能破坏建筑结构，地面不得高于现有地面水平,须符合消防安全规范并履行相关程序，同时报学校食堂监管部门同意后才能安排施工，环境改善施工完成后必须报学校食堂监管部门审核验收，竣工图报学校食堂监管部门备案。</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所有使用的室内外装修材料应符合国家有关环保、安全要求。装修后室内空气质量应符合国家有关空气质量规则，在相关部门指导下</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组织室内空气质量检测，结果合格方能开业；不合格应即刻组织整改，至再次检验合格。</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东区学生食堂环境改善投入资金不得低于</w:t>
      </w:r>
      <w:r>
        <w:rPr>
          <w:rFonts w:ascii="宋体" w:hAnsi="宋体" w:eastAsia="宋体" w:cs="宋体"/>
          <w:sz w:val="24"/>
          <w:szCs w:val="24"/>
          <w:highlight w:val="none"/>
        </w:rPr>
        <w:t>280</w:t>
      </w:r>
      <w:r>
        <w:rPr>
          <w:rFonts w:hint="eastAsia" w:ascii="宋体" w:hAnsi="宋体" w:eastAsia="宋体" w:cs="宋体"/>
          <w:sz w:val="24"/>
          <w:szCs w:val="24"/>
          <w:highlight w:val="none"/>
        </w:rPr>
        <w:t>万元，，</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投入项目环境改善投入资金不低于成交人参竞文件承诺的金额。环境改善完成后三个月内，</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应向学校提供环境改善投入相关票据。环境改善投入资金以第三方审计机构审计结果为准（</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提供竣工图纸、详细结算资料等），审计费用由</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支付。若审计环境改善投入资金低于</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的环境改善投入资金报价，差额部分（</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所报环境改善投入资金-审计确定的环境改善投入资金）须以银行转账形式补偿给校方，且学校不予退还环境改善保证金，影响师生就餐的，学校还将追究其违约责任。</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环境改善投入资金审计办法如下：</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17.</w:t>
      </w:r>
      <w:r>
        <w:rPr>
          <w:rFonts w:hint="eastAsia" w:ascii="宋体" w:hAnsi="宋体" w:eastAsia="宋体" w:cs="宋体"/>
          <w:sz w:val="24"/>
          <w:szCs w:val="24"/>
          <w:highlight w:val="none"/>
        </w:rPr>
        <w:t>6.1以第三方机构审定金额为准。</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17.</w:t>
      </w:r>
      <w:r>
        <w:rPr>
          <w:rFonts w:hint="eastAsia" w:ascii="宋体" w:hAnsi="宋体" w:eastAsia="宋体" w:cs="宋体"/>
          <w:sz w:val="24"/>
          <w:szCs w:val="24"/>
          <w:highlight w:val="none"/>
        </w:rPr>
        <w:t>6.2审核依据</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17.</w:t>
      </w:r>
      <w:r>
        <w:rPr>
          <w:rFonts w:hint="eastAsia" w:ascii="宋体" w:hAnsi="宋体" w:eastAsia="宋体" w:cs="宋体"/>
          <w:sz w:val="24"/>
          <w:szCs w:val="24"/>
          <w:highlight w:val="none"/>
        </w:rPr>
        <w:t>6.2.1本项目合同；</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17.</w:t>
      </w:r>
      <w:r>
        <w:rPr>
          <w:rFonts w:hint="eastAsia" w:ascii="宋体" w:hAnsi="宋体" w:eastAsia="宋体" w:cs="宋体"/>
          <w:sz w:val="24"/>
          <w:szCs w:val="24"/>
          <w:highlight w:val="none"/>
        </w:rPr>
        <w:t>6.2.2经校方审定的本项目食堂装修方案；</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17.</w:t>
      </w:r>
      <w:r>
        <w:rPr>
          <w:rFonts w:hint="eastAsia" w:ascii="宋体" w:hAnsi="宋体" w:eastAsia="宋体" w:cs="宋体"/>
          <w:sz w:val="24"/>
          <w:szCs w:val="24"/>
          <w:highlight w:val="none"/>
        </w:rPr>
        <w:t>6.2.3经成交人与校方共同确认的完整竣工图；</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17.</w:t>
      </w:r>
      <w:r>
        <w:rPr>
          <w:rFonts w:hint="eastAsia" w:ascii="宋体" w:hAnsi="宋体" w:eastAsia="宋体" w:cs="宋体"/>
          <w:sz w:val="24"/>
          <w:szCs w:val="24"/>
          <w:highlight w:val="none"/>
        </w:rPr>
        <w:t>6.2.4施工及验收规范；</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17.</w:t>
      </w:r>
      <w:r>
        <w:rPr>
          <w:rFonts w:hint="eastAsia" w:ascii="宋体" w:hAnsi="宋体" w:eastAsia="宋体" w:cs="宋体"/>
          <w:sz w:val="24"/>
          <w:szCs w:val="24"/>
          <w:highlight w:val="none"/>
        </w:rPr>
        <w:t>6.2.5重庆现行的建设工程计价定额、文件，施工期间的信息价格及市场价格。</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17.</w:t>
      </w:r>
      <w:r>
        <w:rPr>
          <w:rFonts w:hint="eastAsia" w:ascii="宋体" w:hAnsi="宋体" w:eastAsia="宋体" w:cs="宋体"/>
          <w:sz w:val="24"/>
          <w:szCs w:val="24"/>
          <w:highlight w:val="none"/>
        </w:rPr>
        <w:t>6.3投资金额的审定</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17.</w:t>
      </w:r>
      <w:r>
        <w:rPr>
          <w:rFonts w:hint="eastAsia" w:ascii="宋体" w:hAnsi="宋体" w:eastAsia="宋体" w:cs="宋体"/>
          <w:sz w:val="24"/>
          <w:szCs w:val="24"/>
          <w:highlight w:val="none"/>
        </w:rPr>
        <w:t>6.3.1设备费用（含智慧食堂费用、家具餐具费用）：以成交人承诺或按成交人要求的品牌，以合法有效的发票、购货合同、付款流水记录、产品合格证等相互印证的资料进行确认。审核方就成交人提供的产品进行市场调研，若成交人提供的价格高于调研价格的10%及以上，则以审核方综合考虑各种情况确定的价格为准。</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17.</w:t>
      </w:r>
      <w:r>
        <w:rPr>
          <w:rFonts w:hint="eastAsia" w:ascii="宋体" w:hAnsi="宋体" w:eastAsia="宋体" w:cs="宋体"/>
          <w:sz w:val="24"/>
          <w:szCs w:val="24"/>
          <w:highlight w:val="none"/>
        </w:rPr>
        <w:t>6.3.2装修施工：以完整、合规的竣工图及2018年《重庆市房屋建筑与装饰工程计价定额》、《重庆市通用安装工程计价定额》、费用定额及相关配套文件进行测算，人工、材料价格执行参竞当月重庆建设工程造价信息价格。包括但不限于安装、装饰材料因品牌、规格等与施工期间重庆建设工程造价信息不匹配的材料设备，在成交人完整的产品合格证、进料单等证明使用的品牌、规格、档次资料前提下，则由成交人、校方及第三方审核方共同核定。如不能提供完整的能确定品牌、规格、档次的资料，则由校方和（或）第三方审核方单方面确定价格，成交人不得提出异议。</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17.</w:t>
      </w:r>
      <w:r>
        <w:rPr>
          <w:rFonts w:hint="eastAsia" w:ascii="宋体" w:hAnsi="宋体" w:eastAsia="宋体" w:cs="宋体"/>
          <w:sz w:val="24"/>
          <w:szCs w:val="24"/>
          <w:highlight w:val="none"/>
        </w:rPr>
        <w:t>6.3.3设计费用：可以有一定的设计、检测、试运行等费用，金额不超过1</w:t>
      </w:r>
      <w:r>
        <w:rPr>
          <w:rFonts w:ascii="宋体" w:hAnsi="宋体" w:eastAsia="宋体" w:cs="宋体"/>
          <w:sz w:val="24"/>
          <w:szCs w:val="24"/>
          <w:highlight w:val="none"/>
        </w:rPr>
        <w:t>7.</w:t>
      </w:r>
      <w:r>
        <w:rPr>
          <w:rFonts w:hint="eastAsia" w:ascii="宋体" w:hAnsi="宋体" w:eastAsia="宋体" w:cs="宋体"/>
          <w:sz w:val="24"/>
          <w:szCs w:val="24"/>
          <w:highlight w:val="none"/>
        </w:rPr>
        <w:t>6.3.1及1</w:t>
      </w:r>
      <w:r>
        <w:rPr>
          <w:rFonts w:ascii="宋体" w:hAnsi="宋体" w:eastAsia="宋体" w:cs="宋体"/>
          <w:sz w:val="24"/>
          <w:szCs w:val="24"/>
          <w:highlight w:val="none"/>
        </w:rPr>
        <w:t>7.</w:t>
      </w:r>
      <w:r>
        <w:rPr>
          <w:rFonts w:hint="eastAsia" w:ascii="宋体" w:hAnsi="宋体" w:eastAsia="宋体" w:cs="宋体"/>
          <w:sz w:val="24"/>
          <w:szCs w:val="24"/>
          <w:highlight w:val="none"/>
        </w:rPr>
        <w:t>6.3.2之和的5%。</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17.</w:t>
      </w:r>
      <w:r>
        <w:rPr>
          <w:rFonts w:hint="eastAsia" w:ascii="宋体" w:hAnsi="宋体" w:eastAsia="宋体" w:cs="宋体"/>
          <w:sz w:val="24"/>
          <w:szCs w:val="24"/>
          <w:highlight w:val="none"/>
        </w:rPr>
        <w:t>7食堂餐桌椅</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就餐大厅餐桌椅由成交人购置、维修使用或更换。东区学生食堂餐桌椅座位数不低于</w:t>
      </w:r>
      <w:r>
        <w:rPr>
          <w:rFonts w:ascii="宋体" w:hAnsi="宋体" w:eastAsia="宋体" w:cs="宋体"/>
          <w:sz w:val="24"/>
          <w:szCs w:val="24"/>
          <w:highlight w:val="none"/>
        </w:rPr>
        <w:t>900</w:t>
      </w:r>
      <w:r>
        <w:rPr>
          <w:rFonts w:hint="eastAsia" w:ascii="宋体" w:hAnsi="宋体" w:eastAsia="宋体" w:cs="宋体"/>
          <w:sz w:val="24"/>
          <w:szCs w:val="24"/>
          <w:highlight w:val="none"/>
        </w:rPr>
        <w:t>个。</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合同期满或合同解除，</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不得破坏和拆除现场内装饰装修，学校不支付任何费用。</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投入的可移动设备，合同期满时由</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自行负责处置（现场垃圾及废品、废物须由成交人负责处置并打扫清理干净）,学校无义务回收或转让，更不支付任何费用。</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8.</w:t>
      </w:r>
      <w:r>
        <w:rPr>
          <w:rFonts w:hint="eastAsia" w:ascii="宋体" w:hAnsi="宋体" w:eastAsia="宋体" w:cs="宋体"/>
          <w:sz w:val="24"/>
          <w:szCs w:val="24"/>
          <w:highlight w:val="none"/>
        </w:rPr>
        <w:t>智慧食堂建设要求</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智慧食堂“明厨亮灶”与智慧化建设体现以下内容：</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18.1</w:t>
      </w:r>
      <w:r>
        <w:rPr>
          <w:rFonts w:hint="eastAsia" w:ascii="宋体" w:hAnsi="宋体" w:eastAsia="宋体" w:cs="宋体"/>
          <w:sz w:val="24"/>
          <w:szCs w:val="24"/>
          <w:highlight w:val="none"/>
        </w:rPr>
        <w:t xml:space="preserve"> 视频监控管理，实现监控全覆盖，实时了解后厨动态，实现全流程记录，大厅屏幕实时播放，引导公众直接参与食安监督，提升保障食堂工作人员的自律意识。通过智能物联硬件设备与食安管控平台，对食堂进行全面的监管，及时发现违规异常情况，发出预警，从多方面保障校园食品安全。食堂数据化管理，提高管理层的工作效率。实现全校“智慧食安管理平台”，建设安全监管指挥中心，高效实现“日管控-周排查-月调度”的监管闭环，实现对食品安全的全面监管。</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18.</w:t>
      </w:r>
      <w:r>
        <w:rPr>
          <w:rFonts w:hint="eastAsia" w:ascii="宋体" w:hAnsi="宋体" w:eastAsia="宋体" w:cs="宋体"/>
          <w:sz w:val="24"/>
          <w:szCs w:val="24"/>
          <w:highlight w:val="none"/>
        </w:rPr>
        <w:t>2智慧食堂建设所需产品数量各参竞人根据现场情况配置，须满足学校智慧食堂建设要求和可行性，具体建设的内容应包含“智慧食堂”学校食安指挥中心平台建设、食堂智慧化设备与“明厨亮灶”建设。</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8.</w:t>
      </w:r>
      <w:r>
        <w:rPr>
          <w:rFonts w:hint="eastAsia" w:ascii="宋体" w:hAnsi="宋体" w:eastAsia="宋体" w:cs="宋体"/>
          <w:sz w:val="24"/>
          <w:szCs w:val="24"/>
          <w:highlight w:val="none"/>
        </w:rPr>
        <w:t>2</w:t>
      </w:r>
      <w:r>
        <w:rPr>
          <w:rFonts w:ascii="宋体" w:hAnsi="宋体" w:eastAsia="宋体" w:cs="宋体"/>
          <w:sz w:val="24"/>
          <w:szCs w:val="24"/>
          <w:highlight w:val="none"/>
        </w:rPr>
        <w:t>.1</w:t>
      </w:r>
      <w:r>
        <w:rPr>
          <w:rFonts w:hint="eastAsia" w:ascii="宋体" w:hAnsi="宋体" w:eastAsia="宋体" w:cs="宋体"/>
          <w:sz w:val="24"/>
          <w:szCs w:val="24"/>
          <w:highlight w:val="none"/>
        </w:rPr>
        <w:t>“智慧食堂”学校食安指挥中心平台建设清单</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食品安全指挥管理平台模块、食堂信息管理模块、食安考评管理模块、智慧食安监管模块、数字巡检模块、后勤服务监管模块、溯源管理模块、消息中心模块、人事管理模块、后台管理系统模块等。成交人应提供具体建设清单及各模块具体参数表等。</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8.</w:t>
      </w:r>
      <w:r>
        <w:rPr>
          <w:rFonts w:hint="eastAsia" w:ascii="宋体" w:hAnsi="宋体" w:eastAsia="宋体" w:cs="宋体"/>
          <w:sz w:val="24"/>
          <w:szCs w:val="24"/>
          <w:highlight w:val="none"/>
        </w:rPr>
        <w:t>2</w:t>
      </w:r>
      <w:r>
        <w:rPr>
          <w:rFonts w:ascii="宋体" w:hAnsi="宋体" w:eastAsia="宋体" w:cs="宋体"/>
          <w:sz w:val="24"/>
          <w:szCs w:val="24"/>
          <w:highlight w:val="none"/>
        </w:rPr>
        <w:t>.2</w:t>
      </w:r>
      <w:r>
        <w:rPr>
          <w:rFonts w:hint="eastAsia" w:ascii="宋体" w:hAnsi="宋体" w:eastAsia="宋体" w:cs="宋体"/>
          <w:sz w:val="24"/>
          <w:szCs w:val="24"/>
          <w:highlight w:val="none"/>
        </w:rPr>
        <w:t>食堂智慧化设备与“明厨亮灶”建设清单</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智能人脸晨检门禁模块、</w:t>
      </w:r>
      <w:r>
        <w:rPr>
          <w:rFonts w:hint="eastAsia" w:ascii="宋体" w:hAnsi="宋体" w:eastAsia="宋体" w:cs="宋体"/>
          <w:kern w:val="0"/>
          <w:sz w:val="24"/>
          <w:szCs w:val="24"/>
          <w:highlight w:val="none"/>
        </w:rPr>
        <w:t>离人监管预警、</w:t>
      </w:r>
      <w:r>
        <w:rPr>
          <w:rFonts w:hint="eastAsia" w:ascii="宋体" w:hAnsi="宋体" w:eastAsia="宋体" w:cs="宋体"/>
          <w:kern w:val="0"/>
          <w:sz w:val="24"/>
          <w:szCs w:val="24"/>
          <w:highlight w:val="none"/>
          <w:lang w:bidi="ar"/>
        </w:rPr>
        <w:t>智能AI留样秤、</w:t>
      </w:r>
      <w:r>
        <w:rPr>
          <w:rFonts w:hint="eastAsia" w:ascii="宋体" w:hAnsi="宋体" w:eastAsia="宋体" w:cs="宋体"/>
          <w:kern w:val="0"/>
          <w:sz w:val="24"/>
          <w:szCs w:val="24"/>
          <w:highlight w:val="none"/>
        </w:rPr>
        <w:t>仓库物联监管套装、仓库物联监管套装、</w:t>
      </w:r>
      <w:r>
        <w:rPr>
          <w:rFonts w:hint="eastAsia" w:ascii="宋体" w:hAnsi="宋体" w:eastAsia="宋体" w:cs="宋体"/>
          <w:kern w:val="0"/>
          <w:sz w:val="24"/>
          <w:szCs w:val="24"/>
          <w:highlight w:val="none"/>
          <w:lang w:bidi="ar"/>
        </w:rPr>
        <w:t>AI行为识别摄像机、</w:t>
      </w:r>
      <w:r>
        <w:rPr>
          <w:rFonts w:hint="eastAsia" w:ascii="宋体" w:hAnsi="宋体" w:eastAsia="宋体" w:cs="宋体"/>
          <w:sz w:val="24"/>
          <w:szCs w:val="24"/>
          <w:highlight w:val="none"/>
        </w:rPr>
        <w:t>AI盒子、数据驾驶舱、食安服务终端、智能溯源收货秤、餐饮具消毒监管、智能人脸留样冰箱、多功能食品安全检测仪、智能冷库监管、食安指挥大屏等。成交人应提供具体建设清单及设备参数表等。</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9.</w:t>
      </w:r>
      <w:r>
        <w:rPr>
          <w:rFonts w:hint="eastAsia" w:ascii="宋体" w:hAnsi="宋体" w:eastAsia="宋体" w:cs="宋体"/>
          <w:sz w:val="24"/>
          <w:szCs w:val="24"/>
          <w:highlight w:val="none"/>
        </w:rPr>
        <w:t>其它要求</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19.</w:t>
      </w:r>
      <w:r>
        <w:rPr>
          <w:rFonts w:hint="eastAsia" w:ascii="宋体" w:hAnsi="宋体" w:eastAsia="宋体" w:cs="宋体"/>
          <w:sz w:val="24"/>
          <w:szCs w:val="24"/>
          <w:highlight w:val="none"/>
        </w:rPr>
        <w:t>1成交人提供服务方案</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成交人须从品类、价格、管理制度、人员配备、服务要求与承诺等方面提供具体的管理服务方案、规章制度等。</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19.2</w:t>
      </w:r>
      <w:r>
        <w:rPr>
          <w:rFonts w:hint="eastAsia" w:ascii="宋体" w:hAnsi="宋体" w:eastAsia="宋体" w:cs="宋体"/>
          <w:sz w:val="24"/>
          <w:szCs w:val="24"/>
          <w:highlight w:val="none"/>
        </w:rPr>
        <w:t>校园文化建设和劳动育人</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食堂文化建设符合学校相关规定，与学校发展特色契合，积极营造和谐校园文化，不得在学校和食堂区域从事任何商业广告。成交人应结合校园文化传统和食堂硬件条件，建设劳动育人空间、平台；制定劳动育人方案，每月开展特色劳动育人、学生用餐减免优惠、饮食文化品鉴等相关活动，每月投入不低于月营业额的</w:t>
      </w:r>
      <w:r>
        <w:rPr>
          <w:rFonts w:ascii="宋体" w:hAnsi="宋体" w:eastAsia="宋体" w:cs="宋体"/>
          <w:sz w:val="24"/>
          <w:szCs w:val="24"/>
          <w:highlight w:val="none"/>
        </w:rPr>
        <w:t>2</w:t>
      </w:r>
      <w:r>
        <w:rPr>
          <w:rFonts w:hint="eastAsia" w:ascii="宋体" w:hAnsi="宋体" w:eastAsia="宋体" w:cs="宋体"/>
          <w:sz w:val="24"/>
          <w:szCs w:val="24"/>
          <w:highlight w:val="none"/>
        </w:rPr>
        <w:t>%作为学生食堂劳动育人活动费，学校每月审核费用投入，不达标的处以日常考核扣分，对不足额度将在次月营业款中扣除，并用于相关学生活动开支，学生食堂劳动育人活动费的支出管理按学校相关规则执行。</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19.3</w:t>
      </w:r>
      <w:r>
        <w:rPr>
          <w:rFonts w:hint="eastAsia" w:ascii="宋体" w:hAnsi="宋体" w:eastAsia="宋体" w:cs="宋体"/>
          <w:sz w:val="24"/>
          <w:szCs w:val="24"/>
          <w:highlight w:val="none"/>
        </w:rPr>
        <w:t>住宿</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学校不提供员工住宿场所，成交人自行解决员工住宿问题，除值班员工外不得在食堂内住宿。</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19.4消费终端</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学校提供“一校通”消费终端设备，但需要成交人按照设备价格缴纳押金。学校负责消费终端的安装调试工作，成交人需在网络信息中心指导下提前完成终端设备点位及安装方式的确认、网络和设备用电的准备工作。</w:t>
      </w:r>
    </w:p>
    <w:p>
      <w:pPr>
        <w:pStyle w:val="3"/>
        <w:tabs>
          <w:tab w:val="clear" w:pos="3360"/>
        </w:tabs>
        <w:spacing w:before="312" w:after="156" w:line="276" w:lineRule="auto"/>
        <w:ind w:firstLine="482" w:firstLineChars="200"/>
        <w:jc w:val="left"/>
        <w:rPr>
          <w:rFonts w:cs="宋体"/>
          <w:b/>
          <w:bCs/>
          <w:sz w:val="24"/>
          <w:szCs w:val="24"/>
          <w:highlight w:val="none"/>
        </w:rPr>
      </w:pPr>
      <w:r>
        <w:rPr>
          <w:rFonts w:hint="eastAsia" w:cs="宋体"/>
          <w:b/>
          <w:bCs/>
          <w:sz w:val="24"/>
          <w:szCs w:val="24"/>
          <w:highlight w:val="none"/>
        </w:rPr>
        <w:t>三、联合经营期间的其他具体要求</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w:t>
      </w:r>
      <w:r>
        <w:rPr>
          <w:rFonts w:hint="eastAsia" w:ascii="宋体" w:hAnsi="宋体" w:eastAsia="宋体" w:cs="宋体"/>
          <w:sz w:val="24"/>
          <w:szCs w:val="24"/>
          <w:highlight w:val="none"/>
        </w:rPr>
        <w:t>联合经营服务期、验收、考核等要求</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.1</w:t>
      </w:r>
      <w:r>
        <w:rPr>
          <w:rFonts w:hint="eastAsia" w:ascii="宋体" w:hAnsi="宋体" w:eastAsia="宋体" w:cs="宋体"/>
          <w:sz w:val="24"/>
          <w:szCs w:val="24"/>
          <w:highlight w:val="none"/>
        </w:rPr>
        <w:t>联合经营期、环境改善期</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1.1</w:t>
      </w:r>
      <w:r>
        <w:rPr>
          <w:rFonts w:hint="eastAsia" w:ascii="宋体" w:hAnsi="宋体" w:eastAsia="宋体" w:cs="宋体"/>
          <w:sz w:val="24"/>
          <w:szCs w:val="24"/>
          <w:highlight w:val="none"/>
        </w:rPr>
        <w:t>联合经营服务期为2025年8月25日起至2030年春季学期结束，2025年8月2</w:t>
      </w:r>
      <w:r>
        <w:rPr>
          <w:rFonts w:ascii="宋体" w:hAnsi="宋体" w:eastAsia="宋体" w:cs="宋体"/>
          <w:sz w:val="24"/>
          <w:szCs w:val="24"/>
          <w:highlight w:val="none"/>
        </w:rPr>
        <w:t>5</w:t>
      </w:r>
      <w:r>
        <w:rPr>
          <w:rFonts w:hint="eastAsia" w:ascii="宋体" w:hAnsi="宋体" w:eastAsia="宋体" w:cs="宋体"/>
          <w:sz w:val="24"/>
          <w:szCs w:val="24"/>
          <w:highlight w:val="none"/>
        </w:rPr>
        <w:t>日前达到开业条件，联合经营服务期的具体起止时间以学校通知为准。</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1.1.</w:t>
      </w:r>
      <w:r>
        <w:rPr>
          <w:rFonts w:hint="eastAsia" w:ascii="宋体" w:hAnsi="宋体" w:eastAsia="宋体" w:cs="宋体"/>
          <w:sz w:val="24"/>
          <w:szCs w:val="24"/>
          <w:highlight w:val="none"/>
        </w:rPr>
        <w:t>2环境改善期间，成交人须承担水电等费用及环境改善期间的安全责任。环境改善入场时间以学校通知为准。</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w:t>
      </w:r>
      <w:r>
        <w:rPr>
          <w:rFonts w:hint="eastAsia" w:ascii="宋体" w:hAnsi="宋体" w:eastAsia="宋体" w:cs="宋体"/>
          <w:sz w:val="24"/>
          <w:szCs w:val="24"/>
          <w:highlight w:val="none"/>
        </w:rPr>
        <w:t>2开业条件</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成交人完成环境改善施工、弱电网络以及“一校通”消费终端安装调试并验收，办理了食品卫生许可证、食品经营证、从业人员健康证等证照、证件，并做好开业前准备工作。</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w:t>
      </w:r>
      <w:r>
        <w:rPr>
          <w:rFonts w:hint="eastAsia" w:ascii="宋体" w:hAnsi="宋体" w:eastAsia="宋体" w:cs="宋体"/>
          <w:sz w:val="24"/>
          <w:szCs w:val="24"/>
          <w:highlight w:val="none"/>
        </w:rPr>
        <w:t>3开业验收方式</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食堂环境改善施工完成后，学校后勤基建管理处组织综合验收，确保装修效果、卫生、设备调试、人员配置、菜品及价格牌审定等符合要求，验收合格条件如下：</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1.3.</w:t>
      </w:r>
      <w:r>
        <w:rPr>
          <w:rFonts w:hint="eastAsia" w:ascii="宋体" w:hAnsi="宋体" w:eastAsia="宋体" w:cs="宋体"/>
          <w:sz w:val="24"/>
          <w:szCs w:val="24"/>
          <w:highlight w:val="none"/>
        </w:rPr>
        <w:t>1按照设计方案修缮改造，抽排、卫生等符合规范要求。提供消防验收合格证。</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1.3.</w:t>
      </w:r>
      <w:r>
        <w:rPr>
          <w:rFonts w:hint="eastAsia" w:ascii="宋体" w:hAnsi="宋体" w:eastAsia="宋体" w:cs="宋体"/>
          <w:sz w:val="24"/>
          <w:szCs w:val="24"/>
          <w:highlight w:val="none"/>
        </w:rPr>
        <w:t>2成交人提供保险购买合同，保险种类及保险额度与参竞文件一致，并报学校后勤基建管理处及资产管理处备案。</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w:t>
      </w:r>
      <w:r>
        <w:rPr>
          <w:rFonts w:hint="eastAsia" w:ascii="宋体" w:hAnsi="宋体" w:eastAsia="宋体" w:cs="宋体"/>
          <w:sz w:val="24"/>
          <w:szCs w:val="24"/>
          <w:highlight w:val="none"/>
        </w:rPr>
        <w:t>结算及营业收入提取方式</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2.</w:t>
      </w:r>
      <w:r>
        <w:rPr>
          <w:rFonts w:hint="eastAsia" w:ascii="宋体" w:hAnsi="宋体" w:eastAsia="宋体" w:cs="宋体"/>
          <w:sz w:val="24"/>
          <w:szCs w:val="24"/>
          <w:highlight w:val="none"/>
        </w:rPr>
        <w:t>1成交人与学校师生通过“一校通”进行消费结算，确保所有营业收入归结于学校财务账户。</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学校与成交人之间通过银行转账方式进行对公财务结算营业收入，严禁现金交易或其他结算方式，如有特殊需求，成交人须在学校同意后，在学校财务部门指导下进行结算。</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2</w:t>
      </w:r>
      <w:r>
        <w:rPr>
          <w:rFonts w:hint="eastAsia" w:ascii="宋体" w:hAnsi="宋体" w:eastAsia="宋体" w:cs="宋体"/>
          <w:sz w:val="24"/>
          <w:szCs w:val="24"/>
          <w:highlight w:val="none"/>
        </w:rPr>
        <w:t>水电费</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根据成交人实际水、电用量，学校在成交人营业收入中扣除成交人上月水、电等费用。</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2.</w:t>
      </w:r>
      <w:r>
        <w:rPr>
          <w:rFonts w:hint="eastAsia" w:ascii="宋体" w:hAnsi="宋体" w:eastAsia="宋体" w:cs="宋体"/>
          <w:sz w:val="24"/>
          <w:szCs w:val="24"/>
          <w:highlight w:val="none"/>
        </w:rPr>
        <w:t>3月营业收入提取方式</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学校根据网络信息中心出具的“一校通”月营业报表，在扣除一卡通设备维护费（月营业收入的</w:t>
      </w:r>
      <w:r>
        <w:rPr>
          <w:rFonts w:ascii="宋体" w:hAnsi="宋体" w:eastAsia="宋体"/>
          <w:sz w:val="24"/>
          <w:szCs w:val="28"/>
          <w:highlight w:val="none"/>
        </w:rPr>
        <w:t>3‰</w:t>
      </w:r>
      <w:r>
        <w:rPr>
          <w:rFonts w:hint="eastAsia" w:ascii="宋体" w:hAnsi="宋体" w:eastAsia="宋体" w:cs="宋体"/>
          <w:sz w:val="24"/>
          <w:szCs w:val="24"/>
          <w:highlight w:val="none"/>
        </w:rPr>
        <w:t>）、月实际发生水电费、年考核费（月营业收入3%）（2至3月，8至9月一起收取）等相关费用后，履行相关签字程序，将成交人月营业收入的剩余部分（不计利息）转入成交人的银行账户中。</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成交人应当将合同最后一年6月份（或合同解除前1个月）及以后的“一校通”结算经费暂缓打入成交人指定账户，待遗留问题处理完毕后再行划拨打入成交人指定账户。</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3</w:t>
      </w:r>
      <w:r>
        <w:rPr>
          <w:rFonts w:hint="eastAsia" w:ascii="宋体" w:hAnsi="宋体" w:eastAsia="宋体" w:cs="宋体"/>
          <w:sz w:val="24"/>
          <w:szCs w:val="24"/>
          <w:highlight w:val="none"/>
        </w:rPr>
        <w:t>履约保证金指定收取账户</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户</w:t>
      </w:r>
      <w:r>
        <w:rPr>
          <w:rFonts w:ascii="宋体" w:hAnsi="宋体" w:eastAsia="宋体" w:cs="宋体"/>
          <w:sz w:val="24"/>
          <w:szCs w:val="24"/>
          <w:highlight w:val="none"/>
        </w:rPr>
        <w:t xml:space="preserve"> 名: 四川外国语大学</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开户行</w:t>
      </w:r>
      <w:r>
        <w:rPr>
          <w:rFonts w:ascii="宋体" w:hAnsi="宋体" w:eastAsia="宋体" w:cs="宋体"/>
          <w:sz w:val="24"/>
          <w:szCs w:val="24"/>
          <w:highlight w:val="none"/>
        </w:rPr>
        <w:t>: 工行重庆童家桥支行</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账</w:t>
      </w:r>
      <w:r>
        <w:rPr>
          <w:rFonts w:ascii="宋体" w:hAnsi="宋体" w:eastAsia="宋体" w:cs="宋体"/>
          <w:sz w:val="24"/>
          <w:szCs w:val="24"/>
          <w:highlight w:val="none"/>
        </w:rPr>
        <w:t xml:space="preserve"> 号: 3100024609026402214</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3.</w:t>
      </w:r>
      <w:r>
        <w:rPr>
          <w:rFonts w:hint="eastAsia" w:ascii="宋体" w:hAnsi="宋体" w:eastAsia="宋体" w:cs="宋体"/>
          <w:sz w:val="24"/>
          <w:szCs w:val="24"/>
          <w:highlight w:val="none"/>
        </w:rPr>
        <w:t>4履约保证金退还方式</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联合经营期满，经学校考核合格，双方结清所有费用并办理场地移交手续后且无遗留问题的情况下，学校退还全额履约保证金（不计利息）。</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成交人申请退还履约保证金时，要向后勤基建管理处申请，待上报学校审议通过后，学校财务部门再按照流程退还。</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注：如遇寒暑假或国家重大事件，则顺延至开学或条件允许后退还。</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w:t>
      </w:r>
      <w:r>
        <w:rPr>
          <w:rFonts w:ascii="宋体" w:hAnsi="宋体" w:eastAsia="宋体" w:cs="宋体"/>
          <w:sz w:val="24"/>
          <w:szCs w:val="24"/>
          <w:highlight w:val="none"/>
        </w:rPr>
        <w:t>.</w:t>
      </w:r>
      <w:r>
        <w:rPr>
          <w:rFonts w:hint="eastAsia" w:ascii="宋体" w:hAnsi="宋体" w:eastAsia="宋体" w:cs="宋体"/>
          <w:sz w:val="24"/>
          <w:szCs w:val="24"/>
          <w:highlight w:val="none"/>
        </w:rPr>
        <w:t>环境改善保证金</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4.</w:t>
      </w:r>
      <w:r>
        <w:rPr>
          <w:rFonts w:hint="eastAsia" w:ascii="宋体" w:hAnsi="宋体" w:eastAsia="宋体" w:cs="宋体"/>
          <w:sz w:val="24"/>
          <w:szCs w:val="24"/>
          <w:highlight w:val="none"/>
        </w:rPr>
        <w:t>1成交人须在合同签订前向校方缴纳10万元的环境改善保证金，以确保环境改善按期、按质进行。成交人按照项目文件相关规定缴纳环境改善保证金，是合同成立的必要前提（合同成立条件包含但不限于环境改善保证金缴纳的时间、金额及方式等），反之视为放弃联合经营资格，合同不成立。</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4.2</w:t>
      </w:r>
      <w:r>
        <w:rPr>
          <w:rFonts w:hint="eastAsia" w:ascii="宋体" w:hAnsi="宋体" w:eastAsia="宋体" w:cs="宋体"/>
          <w:sz w:val="24"/>
          <w:szCs w:val="24"/>
          <w:highlight w:val="none"/>
        </w:rPr>
        <w:t>以银行转账、电汇等方式缴纳至学校指定的银行账户，不得以现金或其他方式划入任何个人账户，否则由此产生的所有损失由成交人自行承担。成交人务必在汇款凭证上注明“项目编号+履约保证金”。</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4.3</w:t>
      </w:r>
      <w:r>
        <w:rPr>
          <w:rFonts w:hint="eastAsia" w:ascii="宋体" w:hAnsi="宋体" w:eastAsia="宋体" w:cs="宋体"/>
          <w:sz w:val="24"/>
          <w:szCs w:val="24"/>
          <w:highlight w:val="none"/>
        </w:rPr>
        <w:t>环境改善保证金指定收取账户</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户</w:t>
      </w:r>
      <w:r>
        <w:rPr>
          <w:rFonts w:ascii="宋体" w:hAnsi="宋体" w:eastAsia="宋体" w:cs="宋体"/>
          <w:sz w:val="24"/>
          <w:szCs w:val="24"/>
          <w:highlight w:val="none"/>
        </w:rPr>
        <w:t xml:space="preserve"> 名: 四川外国语大学</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开户行</w:t>
      </w:r>
      <w:r>
        <w:rPr>
          <w:rFonts w:ascii="宋体" w:hAnsi="宋体" w:eastAsia="宋体" w:cs="宋体"/>
          <w:sz w:val="24"/>
          <w:szCs w:val="24"/>
          <w:highlight w:val="none"/>
        </w:rPr>
        <w:t>: 工行重庆童家桥支行</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账</w:t>
      </w:r>
      <w:r>
        <w:rPr>
          <w:rFonts w:ascii="宋体" w:hAnsi="宋体" w:eastAsia="宋体" w:cs="宋体"/>
          <w:sz w:val="24"/>
          <w:szCs w:val="24"/>
          <w:highlight w:val="none"/>
        </w:rPr>
        <w:t xml:space="preserve"> 号: 3100024609026402214</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w:t>
      </w:r>
      <w:r>
        <w:rPr>
          <w:rFonts w:ascii="宋体" w:hAnsi="宋体" w:eastAsia="宋体" w:cs="宋体"/>
          <w:sz w:val="24"/>
          <w:szCs w:val="24"/>
          <w:highlight w:val="none"/>
        </w:rPr>
        <w:t>4</w:t>
      </w:r>
      <w:r>
        <w:rPr>
          <w:rFonts w:hint="eastAsia" w:ascii="宋体" w:hAnsi="宋体" w:eastAsia="宋体" w:cs="宋体"/>
          <w:sz w:val="24"/>
          <w:szCs w:val="24"/>
          <w:highlight w:val="none"/>
        </w:rPr>
        <w:t>环境改善保证金退还方式</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环境改善完成后六个月内，第三方审计机构完成审计且无遗留问题，学校全额无息退还环境改善保证金（不计利息）。</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成交人申请退还环境改善保证金时，要向后勤基建管理处申请，待上报学校审议通过后，学校财务部门再按照流程退还。</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w:t>
      </w:r>
      <w:r>
        <w:rPr>
          <w:rFonts w:ascii="宋体" w:hAnsi="宋体" w:eastAsia="宋体" w:cs="宋体"/>
          <w:sz w:val="24"/>
          <w:szCs w:val="24"/>
          <w:highlight w:val="none"/>
        </w:rPr>
        <w:t>.</w:t>
      </w:r>
      <w:r>
        <w:rPr>
          <w:rFonts w:hint="eastAsia" w:ascii="宋体" w:hAnsi="宋体" w:eastAsia="宋体" w:cs="宋体"/>
          <w:sz w:val="24"/>
          <w:szCs w:val="24"/>
          <w:highlight w:val="none"/>
        </w:rPr>
        <w:t>服务考核办法</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w:t>
      </w:r>
      <w:r>
        <w:rPr>
          <w:rFonts w:ascii="宋体" w:hAnsi="宋体" w:eastAsia="宋体" w:cs="宋体"/>
          <w:sz w:val="24"/>
          <w:szCs w:val="24"/>
          <w:highlight w:val="none"/>
        </w:rPr>
        <w:t>.1</w:t>
      </w:r>
      <w:r>
        <w:rPr>
          <w:rFonts w:hint="eastAsia" w:ascii="宋体" w:hAnsi="宋体" w:eastAsia="宋体" w:cs="宋体"/>
          <w:sz w:val="24"/>
          <w:szCs w:val="24"/>
          <w:highlight w:val="none"/>
        </w:rPr>
        <w:t>考核分为日常考核、年度考核。考核结果通过扣分、扣考核费和解除合同的方式体现。</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w:t>
      </w:r>
      <w:r>
        <w:rPr>
          <w:rFonts w:ascii="宋体" w:hAnsi="宋体" w:eastAsia="宋体" w:cs="宋体"/>
          <w:sz w:val="24"/>
          <w:szCs w:val="24"/>
          <w:highlight w:val="none"/>
        </w:rPr>
        <w:t>.2</w:t>
      </w:r>
      <w:r>
        <w:rPr>
          <w:rFonts w:hint="eastAsia" w:ascii="宋体" w:hAnsi="宋体" w:eastAsia="宋体" w:cs="宋体"/>
          <w:sz w:val="24"/>
          <w:szCs w:val="24"/>
          <w:highlight w:val="none"/>
        </w:rPr>
        <w:t>考核的组织及实施</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5.2.</w:t>
      </w:r>
      <w:r>
        <w:rPr>
          <w:rFonts w:hint="eastAsia" w:ascii="宋体" w:hAnsi="宋体" w:eastAsia="宋体" w:cs="宋体"/>
          <w:sz w:val="24"/>
          <w:szCs w:val="24"/>
          <w:highlight w:val="none"/>
        </w:rPr>
        <w:t>1考核范围：与学校签订合同约定的范围。</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5.2.2</w:t>
      </w:r>
      <w:r>
        <w:rPr>
          <w:rFonts w:hint="eastAsia" w:ascii="宋体" w:hAnsi="宋体" w:eastAsia="宋体" w:cs="宋体"/>
          <w:sz w:val="24"/>
          <w:szCs w:val="24"/>
          <w:highlight w:val="none"/>
        </w:rPr>
        <w:t>考核标准及依据：</w:t>
      </w:r>
    </w:p>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w:t>
      </w:r>
      <w:bookmarkStart w:id="19" w:name="OLE_LINK4"/>
      <w:r>
        <w:rPr>
          <w:rFonts w:hint="eastAsia" w:ascii="宋体" w:hAnsi="宋体" w:eastAsia="宋体" w:cs="宋体"/>
          <w:sz w:val="24"/>
          <w:szCs w:val="24"/>
          <w:highlight w:val="none"/>
        </w:rPr>
        <w:t>四川外国语大学对社会企业参与学生食堂联合经营日常考核实施细则</w:t>
      </w:r>
      <w:bookmarkEnd w:id="19"/>
      <w:r>
        <w:rPr>
          <w:rFonts w:hint="eastAsia" w:ascii="宋体" w:hAnsi="宋体" w:eastAsia="宋体" w:cs="宋体"/>
          <w:sz w:val="24"/>
          <w:szCs w:val="24"/>
          <w:highlight w:val="none"/>
        </w:rPr>
        <w:t>》（附件1）</w:t>
      </w:r>
    </w:p>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《四川外国语大学对社会企业参与学生食堂联合经营年度考核办法》（附件2）</w:t>
      </w:r>
    </w:p>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《四川外国语</w:t>
      </w:r>
      <w:r>
        <w:rPr>
          <w:rFonts w:hint="eastAsia" w:ascii="宋体" w:hAnsi="宋体" w:eastAsia="宋体" w:cs="仿宋"/>
          <w:sz w:val="24"/>
          <w:szCs w:val="24"/>
          <w:highlight w:val="none"/>
        </w:rPr>
        <w:t>大学食堂餐饮服务满意度调查问卷</w:t>
      </w:r>
      <w:r>
        <w:rPr>
          <w:rFonts w:hint="eastAsia" w:ascii="宋体" w:hAnsi="宋体" w:eastAsia="宋体" w:cs="宋体"/>
          <w:sz w:val="24"/>
          <w:szCs w:val="24"/>
          <w:highlight w:val="none"/>
        </w:rPr>
        <w:t>》（附件3）</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5.3</w:t>
      </w:r>
      <w:r>
        <w:rPr>
          <w:rFonts w:hint="eastAsia" w:ascii="宋体" w:hAnsi="宋体" w:eastAsia="宋体" w:cs="宋体"/>
          <w:sz w:val="24"/>
          <w:szCs w:val="24"/>
          <w:highlight w:val="none"/>
        </w:rPr>
        <w:t>考核方式及时间</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5.</w:t>
      </w:r>
      <w:r>
        <w:rPr>
          <w:rFonts w:hint="eastAsia" w:ascii="宋体" w:hAnsi="宋体" w:eastAsia="宋体" w:cs="宋体"/>
          <w:sz w:val="24"/>
          <w:szCs w:val="24"/>
          <w:highlight w:val="none"/>
        </w:rPr>
        <w:t xml:space="preserve">3.1考核费  </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年度考核费。学校预留成交人每月营业收入的3%，根据年度考核结果，按对应考核等级予以返还。</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5.</w:t>
      </w:r>
      <w:r>
        <w:rPr>
          <w:rFonts w:hint="eastAsia" w:ascii="宋体" w:hAnsi="宋体" w:eastAsia="宋体" w:cs="宋体"/>
          <w:sz w:val="24"/>
          <w:szCs w:val="24"/>
          <w:highlight w:val="none"/>
        </w:rPr>
        <w:t>3.2 日常考核及结果运用</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四川外国语大学后勤基建管理处牵头，按照《四川外国语大学对社会企业参与学生食堂联合经营日常考核实施细则》（附件1）进行考核，每月考核一次。</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每月考核得分的算术平均数×60%计入年度考核。日常考核发现的问题，先下发整改通知限期整改。对逾期未整改、或对食品安全、消防安全和违反合同的行为，采取扣履约保证金的方式处罚，校方视其情形，按照每次500－50000元/次收取</w:t>
      </w:r>
      <w:r>
        <w:rPr>
          <w:rFonts w:hint="eastAsia" w:ascii="宋体" w:hAnsi="宋体" w:eastAsia="宋体" w:cs="宋体"/>
          <w:color w:val="000000"/>
          <w:sz w:val="24"/>
          <w:szCs w:val="24"/>
          <w:highlight w:val="none"/>
        </w:rPr>
        <w:t>成交人</w:t>
      </w:r>
      <w:r>
        <w:rPr>
          <w:rFonts w:hint="eastAsia" w:ascii="宋体" w:hAnsi="宋体" w:eastAsia="宋体" w:cs="宋体"/>
          <w:sz w:val="24"/>
          <w:szCs w:val="24"/>
          <w:highlight w:val="none"/>
        </w:rPr>
        <w:t>违约金。双方对考核结果签字认可，存档备查。</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5.</w:t>
      </w:r>
      <w:r>
        <w:rPr>
          <w:rFonts w:hint="eastAsia" w:ascii="宋体" w:hAnsi="宋体" w:eastAsia="宋体" w:cs="宋体"/>
          <w:sz w:val="24"/>
          <w:szCs w:val="24"/>
          <w:highlight w:val="none"/>
        </w:rPr>
        <w:t>3.3年度考核及结果运用</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成立考核小组，成员单位：纪检监察室、学生处、计划财务处、审计处、资产管理处、保卫处、后勤基建管理处等部门，后勤基建管理处为牵头单位组织召开社会餐饮企业年度考核会，每年考核一次，按照《四川外国语大学对社会企业参与学生食堂联合经营年度考核办法》（附件2）进行考核。双方对考核结果签字认可，存档备查。</w:t>
      </w:r>
    </w:p>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本考核办法确定的年度考核得分及结果：</w:t>
      </w:r>
    </w:p>
    <w:p>
      <w:pPr>
        <w:spacing w:line="276" w:lineRule="auto"/>
        <w:rPr>
          <w:rFonts w:ascii="宋体" w:hAnsi="宋体" w:eastAsia="宋体" w:cs="宋体"/>
          <w:sz w:val="24"/>
          <w:szCs w:val="24"/>
          <w:highlight w:val="none"/>
        </w:rPr>
      </w:pPr>
    </w:p>
    <w:tbl>
      <w:tblPr>
        <w:tblStyle w:val="34"/>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spacing w:line="276" w:lineRule="auto"/>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分值</w:t>
            </w:r>
          </w:p>
        </w:tc>
        <w:tc>
          <w:tcPr>
            <w:tcW w:w="6662" w:type="dxa"/>
          </w:tcPr>
          <w:p>
            <w:pPr>
              <w:spacing w:line="276" w:lineRule="auto"/>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spacing w:line="276" w:lineRule="auto"/>
              <w:jc w:val="center"/>
              <w:rPr>
                <w:rFonts w:ascii="宋体" w:hAnsi="宋体" w:eastAsia="宋体" w:cs="宋体"/>
                <w:b/>
                <w:bCs/>
                <w:kern w:val="0"/>
                <w:sz w:val="24"/>
                <w:szCs w:val="24"/>
                <w:highlight w:val="none"/>
              </w:rPr>
            </w:pPr>
            <w:r>
              <w:rPr>
                <w:rFonts w:hint="eastAsia" w:ascii="宋体" w:hAnsi="宋体" w:eastAsia="宋体" w:cs="仿宋"/>
                <w:kern w:val="0"/>
                <w:sz w:val="24"/>
                <w:szCs w:val="24"/>
                <w:highlight w:val="none"/>
              </w:rPr>
              <w:t>X≥95分</w:t>
            </w:r>
          </w:p>
        </w:tc>
        <w:tc>
          <w:tcPr>
            <w:tcW w:w="6662" w:type="dxa"/>
          </w:tcPr>
          <w:p>
            <w:pPr>
              <w:spacing w:line="276" w:lineRule="auto"/>
              <w:jc w:val="center"/>
              <w:rPr>
                <w:rFonts w:ascii="宋体" w:hAnsi="宋体" w:eastAsia="宋体" w:cs="宋体"/>
                <w:b/>
                <w:bCs/>
                <w:kern w:val="0"/>
                <w:sz w:val="24"/>
                <w:szCs w:val="24"/>
                <w:highlight w:val="none"/>
              </w:rPr>
            </w:pPr>
            <w:r>
              <w:rPr>
                <w:rFonts w:hint="eastAsia" w:ascii="宋体" w:hAnsi="宋体" w:eastAsia="宋体" w:cs="仿宋"/>
                <w:kern w:val="0"/>
                <w:sz w:val="24"/>
                <w:szCs w:val="24"/>
                <w:highlight w:val="none"/>
              </w:rPr>
              <w:t>全额退还缴纳的“年度考核费”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spacing w:line="276" w:lineRule="auto"/>
              <w:jc w:val="center"/>
              <w:rPr>
                <w:rFonts w:ascii="宋体" w:hAnsi="宋体" w:eastAsia="宋体" w:cs="宋体"/>
                <w:kern w:val="0"/>
                <w:sz w:val="24"/>
                <w:szCs w:val="24"/>
                <w:highlight w:val="none"/>
              </w:rPr>
            </w:pPr>
            <w:r>
              <w:rPr>
                <w:rFonts w:hint="eastAsia" w:ascii="宋体" w:hAnsi="宋体" w:eastAsia="宋体" w:cs="仿宋"/>
                <w:kern w:val="0"/>
                <w:sz w:val="24"/>
                <w:szCs w:val="24"/>
                <w:highlight w:val="none"/>
              </w:rPr>
              <w:t>95分＞X≥90分</w:t>
            </w:r>
          </w:p>
        </w:tc>
        <w:tc>
          <w:tcPr>
            <w:tcW w:w="6662" w:type="dxa"/>
          </w:tcPr>
          <w:p>
            <w:pPr>
              <w:spacing w:line="276" w:lineRule="auto"/>
              <w:jc w:val="center"/>
              <w:rPr>
                <w:rFonts w:ascii="宋体" w:hAnsi="宋体" w:eastAsia="宋体" w:cs="宋体"/>
                <w:kern w:val="0"/>
                <w:sz w:val="24"/>
                <w:szCs w:val="24"/>
                <w:highlight w:val="none"/>
              </w:rPr>
            </w:pPr>
            <w:r>
              <w:rPr>
                <w:rFonts w:hint="eastAsia" w:ascii="宋体" w:hAnsi="宋体" w:eastAsia="宋体" w:cs="仿宋"/>
                <w:kern w:val="0"/>
                <w:sz w:val="24"/>
                <w:szCs w:val="24"/>
                <w:highlight w:val="none"/>
              </w:rPr>
              <w:t>退还缴纳的“年度考核费”的</w:t>
            </w:r>
            <w:r>
              <w:rPr>
                <w:rFonts w:ascii="宋体" w:hAnsi="宋体" w:eastAsia="宋体" w:cs="仿宋"/>
                <w:kern w:val="0"/>
                <w:sz w:val="24"/>
                <w:szCs w:val="24"/>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spacing w:line="276" w:lineRule="auto"/>
              <w:jc w:val="center"/>
              <w:rPr>
                <w:rFonts w:ascii="宋体" w:hAnsi="宋体" w:eastAsia="宋体" w:cs="宋体"/>
                <w:kern w:val="0"/>
                <w:sz w:val="24"/>
                <w:szCs w:val="24"/>
                <w:highlight w:val="none"/>
              </w:rPr>
            </w:pPr>
            <w:r>
              <w:rPr>
                <w:rFonts w:hint="eastAsia" w:ascii="宋体" w:hAnsi="宋体" w:eastAsia="宋体" w:cs="仿宋"/>
                <w:kern w:val="0"/>
                <w:sz w:val="24"/>
                <w:szCs w:val="24"/>
                <w:highlight w:val="none"/>
              </w:rPr>
              <w:t>90分＞X≥80分</w:t>
            </w:r>
          </w:p>
        </w:tc>
        <w:tc>
          <w:tcPr>
            <w:tcW w:w="6662" w:type="dxa"/>
          </w:tcPr>
          <w:p>
            <w:pPr>
              <w:spacing w:line="276" w:lineRule="auto"/>
              <w:jc w:val="center"/>
              <w:rPr>
                <w:rFonts w:ascii="宋体" w:hAnsi="宋体" w:eastAsia="宋体" w:cs="宋体"/>
                <w:kern w:val="0"/>
                <w:sz w:val="24"/>
                <w:szCs w:val="24"/>
                <w:highlight w:val="none"/>
              </w:rPr>
            </w:pPr>
            <w:r>
              <w:rPr>
                <w:rFonts w:hint="eastAsia" w:ascii="宋体" w:hAnsi="宋体" w:eastAsia="宋体" w:cs="仿宋"/>
                <w:kern w:val="0"/>
                <w:sz w:val="24"/>
                <w:szCs w:val="24"/>
                <w:highlight w:val="none"/>
              </w:rPr>
              <w:t>退还缴纳的“年度考核费”的4</w:t>
            </w:r>
            <w:r>
              <w:rPr>
                <w:rFonts w:ascii="宋体" w:hAnsi="宋体" w:eastAsia="宋体" w:cs="仿宋"/>
                <w:kern w:val="0"/>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spacing w:line="276" w:lineRule="auto"/>
              <w:jc w:val="center"/>
              <w:rPr>
                <w:rFonts w:ascii="宋体" w:hAnsi="宋体" w:eastAsia="宋体" w:cs="宋体"/>
                <w:kern w:val="0"/>
                <w:sz w:val="24"/>
                <w:szCs w:val="24"/>
                <w:highlight w:val="none"/>
              </w:rPr>
            </w:pPr>
            <w:r>
              <w:rPr>
                <w:rFonts w:hint="eastAsia" w:ascii="宋体" w:hAnsi="宋体" w:eastAsia="宋体" w:cs="仿宋"/>
                <w:kern w:val="0"/>
                <w:sz w:val="24"/>
                <w:szCs w:val="24"/>
                <w:highlight w:val="none"/>
              </w:rPr>
              <w:t>80分&gt;X≥75分</w:t>
            </w:r>
          </w:p>
        </w:tc>
        <w:tc>
          <w:tcPr>
            <w:tcW w:w="6662" w:type="dxa"/>
          </w:tcPr>
          <w:p>
            <w:pPr>
              <w:spacing w:line="276" w:lineRule="auto"/>
              <w:jc w:val="center"/>
              <w:rPr>
                <w:rFonts w:ascii="宋体" w:hAnsi="宋体" w:eastAsia="宋体" w:cs="宋体"/>
                <w:kern w:val="0"/>
                <w:sz w:val="24"/>
                <w:szCs w:val="24"/>
                <w:highlight w:val="none"/>
              </w:rPr>
            </w:pPr>
            <w:r>
              <w:rPr>
                <w:rFonts w:hint="eastAsia" w:ascii="宋体" w:hAnsi="宋体" w:eastAsia="宋体" w:cs="仿宋"/>
                <w:kern w:val="0"/>
                <w:sz w:val="24"/>
                <w:szCs w:val="24"/>
                <w:highlight w:val="none"/>
              </w:rPr>
              <w:t>退还缴纳的“年度考核费”的</w:t>
            </w:r>
            <w:r>
              <w:rPr>
                <w:rFonts w:ascii="宋体" w:hAnsi="宋体" w:eastAsia="宋体" w:cs="仿宋"/>
                <w:kern w:val="0"/>
                <w:sz w:val="24"/>
                <w:szCs w:val="24"/>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spacing w:line="276" w:lineRule="auto"/>
              <w:jc w:val="center"/>
              <w:rPr>
                <w:rFonts w:ascii="宋体" w:hAnsi="宋体" w:eastAsia="宋体" w:cs="宋体"/>
                <w:kern w:val="0"/>
                <w:sz w:val="24"/>
                <w:szCs w:val="24"/>
                <w:highlight w:val="none"/>
              </w:rPr>
            </w:pPr>
            <w:r>
              <w:rPr>
                <w:rFonts w:hint="eastAsia" w:ascii="宋体" w:hAnsi="宋体" w:eastAsia="宋体" w:cs="仿宋"/>
                <w:kern w:val="0"/>
                <w:sz w:val="24"/>
                <w:szCs w:val="24"/>
                <w:highlight w:val="none"/>
              </w:rPr>
              <w:t>X＜75分</w:t>
            </w:r>
          </w:p>
        </w:tc>
        <w:tc>
          <w:tcPr>
            <w:tcW w:w="6662" w:type="dxa"/>
          </w:tcPr>
          <w:p>
            <w:pPr>
              <w:spacing w:line="276" w:lineRule="auto"/>
              <w:jc w:val="center"/>
              <w:rPr>
                <w:rFonts w:ascii="宋体" w:hAnsi="宋体" w:eastAsia="宋体" w:cs="宋体"/>
                <w:kern w:val="0"/>
                <w:sz w:val="24"/>
                <w:szCs w:val="24"/>
                <w:highlight w:val="none"/>
              </w:rPr>
            </w:pPr>
            <w:r>
              <w:rPr>
                <w:rFonts w:hint="eastAsia" w:ascii="宋体" w:hAnsi="宋体" w:eastAsia="宋体" w:cs="仿宋"/>
                <w:kern w:val="0"/>
                <w:sz w:val="24"/>
                <w:szCs w:val="24"/>
                <w:highlight w:val="none"/>
              </w:rPr>
              <w:t>缴纳的“年度考核费”不予退还</w:t>
            </w:r>
          </w:p>
        </w:tc>
      </w:tr>
    </w:tbl>
    <w:p>
      <w:pPr>
        <w:spacing w:line="276" w:lineRule="auto"/>
        <w:rPr>
          <w:rFonts w:ascii="宋体" w:hAnsi="宋体" w:eastAsia="宋体" w:cs="宋体"/>
          <w:sz w:val="24"/>
          <w:szCs w:val="24"/>
          <w:highlight w:val="none"/>
        </w:rPr>
      </w:pPr>
    </w:p>
    <w:p>
      <w:pPr>
        <w:spacing w:line="276" w:lineRule="auto"/>
        <w:ind w:firstLine="1205" w:firstLineChars="500"/>
        <w:rPr>
          <w:rFonts w:ascii="宋体" w:hAnsi="宋体" w:eastAsia="宋体" w:cs="宋体"/>
          <w:b/>
          <w:sz w:val="24"/>
          <w:szCs w:val="24"/>
          <w:highlight w:val="none"/>
        </w:rPr>
      </w:pPr>
      <w:bookmarkStart w:id="20" w:name="_Toc422380982"/>
      <w:r>
        <w:rPr>
          <w:rFonts w:hint="eastAsia" w:ascii="宋体" w:hAnsi="宋体" w:eastAsia="宋体" w:cs="宋体"/>
          <w:b/>
          <w:sz w:val="24"/>
          <w:szCs w:val="24"/>
          <w:highlight w:val="none"/>
        </w:rPr>
        <w:t>第三篇 评审方法、评审标准、无效参竞条款</w:t>
      </w:r>
      <w:bookmarkEnd w:id="20"/>
      <w:r>
        <w:rPr>
          <w:rFonts w:hint="eastAsia" w:ascii="宋体" w:hAnsi="宋体" w:eastAsia="宋体" w:cs="宋体"/>
          <w:b/>
          <w:sz w:val="24"/>
          <w:szCs w:val="24"/>
          <w:highlight w:val="none"/>
        </w:rPr>
        <w:t>、终止条款</w:t>
      </w:r>
    </w:p>
    <w:p>
      <w:pPr>
        <w:pStyle w:val="3"/>
        <w:tabs>
          <w:tab w:val="clear" w:pos="3360"/>
        </w:tabs>
        <w:spacing w:before="312" w:after="156" w:line="276" w:lineRule="auto"/>
        <w:jc w:val="left"/>
        <w:rPr>
          <w:rFonts w:cs="宋体"/>
          <w:b/>
          <w:bCs/>
          <w:sz w:val="24"/>
          <w:szCs w:val="24"/>
          <w:highlight w:val="none"/>
        </w:rPr>
      </w:pPr>
      <w:r>
        <w:rPr>
          <w:rFonts w:hint="eastAsia" w:cs="宋体"/>
          <w:b/>
          <w:sz w:val="24"/>
          <w:szCs w:val="24"/>
          <w:highlight w:val="none"/>
        </w:rPr>
        <w:t xml:space="preserve"> </w:t>
      </w:r>
      <w:r>
        <w:rPr>
          <w:rFonts w:hint="eastAsia" w:cs="宋体"/>
          <w:sz w:val="24"/>
          <w:szCs w:val="24"/>
          <w:highlight w:val="none"/>
        </w:rPr>
        <w:t xml:space="preserve">   </w:t>
      </w:r>
      <w:bookmarkStart w:id="21" w:name="_Toc422380983"/>
      <w:bookmarkStart w:id="22" w:name="_Toc31256"/>
      <w:bookmarkStart w:id="23" w:name="_Toc15617"/>
      <w:r>
        <w:rPr>
          <w:rFonts w:hint="eastAsia" w:cs="宋体"/>
          <w:b/>
          <w:bCs/>
          <w:sz w:val="24"/>
          <w:szCs w:val="24"/>
          <w:highlight w:val="none"/>
        </w:rPr>
        <w:t>一、评审方法</w:t>
      </w:r>
      <w:bookmarkEnd w:id="21"/>
      <w:bookmarkEnd w:id="22"/>
      <w:bookmarkEnd w:id="23"/>
    </w:p>
    <w:p>
      <w:pPr>
        <w:spacing w:line="276" w:lineRule="auto"/>
        <w:ind w:firstLine="482" w:firstLineChars="200"/>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（一）评审方法</w:t>
      </w:r>
    </w:p>
    <w:p>
      <w:pPr>
        <w:spacing w:line="276" w:lineRule="auto"/>
        <w:ind w:firstLine="480" w:firstLineChars="200"/>
        <w:rPr>
          <w:rFonts w:ascii="宋体" w:hAnsi="宋体" w:eastAsia="宋体" w:cs="宋体"/>
          <w:b/>
          <w:sz w:val="24"/>
          <w:szCs w:val="24"/>
          <w:highlight w:val="none"/>
        </w:rPr>
      </w:pPr>
      <w:r>
        <w:rPr>
          <w:rFonts w:hint="eastAsia" w:ascii="宋体" w:hAnsi="宋体" w:eastAsia="宋体" w:cs="宋体"/>
          <w:kern w:val="0"/>
          <w:sz w:val="24"/>
          <w:szCs w:val="24"/>
          <w:highlight w:val="none"/>
        </w:rPr>
        <w:t>本项目采用综合评分法进行评审。综合评分法是指在满足食堂联合经营项目文件实质性要求前提下，按照食堂联合经营项目文件中规定的各项评分因素进行综合评审后，以评审总得分最高的参竞人作为拟成交候选单位的评审方法。</w:t>
      </w:r>
      <w:r>
        <w:rPr>
          <w:rFonts w:hint="eastAsia" w:ascii="宋体" w:hAnsi="宋体" w:eastAsia="宋体" w:cs="宋体"/>
          <w:sz w:val="24"/>
          <w:szCs w:val="24"/>
          <w:highlight w:val="none"/>
        </w:rPr>
        <w:t>参竞人总得分为价格、服务、商务等因素分别按照相应权重值计算分项得分后相加，满分为100分。</w:t>
      </w:r>
    </w:p>
    <w:p>
      <w:pPr>
        <w:spacing w:line="276" w:lineRule="auto"/>
        <w:ind w:firstLine="482" w:firstLineChars="200"/>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（二）评审程序</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评审工作由学校负责组织，具体评审事务由学校组建的评审委员会负责。</w:t>
      </w:r>
    </w:p>
    <w:p>
      <w:pPr>
        <w:spacing w:line="276" w:lineRule="auto"/>
        <w:ind w:firstLine="480" w:firstLineChars="200"/>
        <w:rPr>
          <w:rFonts w:ascii="宋体" w:hAnsi="宋体" w:eastAsia="宋体" w:cs="宋体"/>
          <w:kern w:val="0"/>
          <w:sz w:val="24"/>
          <w:szCs w:val="24"/>
          <w:highlight w:val="none"/>
        </w:rPr>
      </w:pPr>
      <w:r>
        <w:rPr>
          <w:rFonts w:hint="eastAsia" w:ascii="宋体" w:hAnsi="宋体" w:eastAsia="宋体" w:cs="宋体"/>
          <w:sz w:val="24"/>
          <w:szCs w:val="24"/>
          <w:highlight w:val="none"/>
        </w:rPr>
        <w:t>评审委员会成员到位后，推选其中一位担任评审组长，并由评审组长牵头领导该项目评审工作。评审委员会按以下程序独立履行评审职责：</w:t>
      </w:r>
    </w:p>
    <w:p>
      <w:pPr>
        <w:pStyle w:val="237"/>
        <w:numPr>
          <w:ilvl w:val="0"/>
          <w:numId w:val="19"/>
        </w:numPr>
        <w:spacing w:line="276" w:lineRule="auto"/>
        <w:ind w:firstLineChars="0"/>
        <w:rPr>
          <w:rFonts w:ascii="宋体" w:hAnsi="宋体" w:cs="宋体"/>
          <w:kern w:val="0"/>
          <w:sz w:val="24"/>
          <w:szCs w:val="24"/>
          <w:highlight w:val="none"/>
        </w:rPr>
      </w:pPr>
      <w:r>
        <w:rPr>
          <w:rFonts w:hint="eastAsia" w:ascii="宋体" w:hAnsi="宋体" w:cs="宋体"/>
          <w:kern w:val="0"/>
          <w:sz w:val="24"/>
          <w:szCs w:val="24"/>
          <w:highlight w:val="none"/>
        </w:rPr>
        <w:t>资格性检查。依据法律法规和食堂联合经营项目文件的规定，对参竞文件中的资格证明、保证金等进行审查，以确定参竞单位是否具备参竞资格。</w:t>
      </w:r>
    </w:p>
    <w:p>
      <w:pPr>
        <w:pStyle w:val="237"/>
        <w:spacing w:line="276" w:lineRule="auto"/>
        <w:ind w:left="840" w:firstLine="0" w:firstLineChars="0"/>
        <w:rPr>
          <w:rFonts w:ascii="宋体" w:hAnsi="宋体" w:cs="宋体"/>
          <w:kern w:val="0"/>
          <w:sz w:val="24"/>
          <w:szCs w:val="24"/>
          <w:highlight w:val="none"/>
        </w:rPr>
      </w:pPr>
      <w:r>
        <w:rPr>
          <w:rFonts w:hint="eastAsia" w:ascii="宋体" w:hAnsi="宋体" w:cs="宋体"/>
          <w:kern w:val="0"/>
          <w:sz w:val="24"/>
          <w:szCs w:val="24"/>
          <w:highlight w:val="none"/>
        </w:rPr>
        <w:t>资格性检查资料表如下：</w:t>
      </w:r>
    </w:p>
    <w:p>
      <w:pPr>
        <w:spacing w:line="276" w:lineRule="auto"/>
        <w:rPr>
          <w:rFonts w:ascii="宋体" w:hAnsi="宋体" w:cs="宋体"/>
          <w:kern w:val="0"/>
          <w:sz w:val="24"/>
          <w:szCs w:val="24"/>
          <w:highlight w:val="none"/>
        </w:rPr>
      </w:pPr>
    </w:p>
    <w:tbl>
      <w:tblPr>
        <w:tblStyle w:val="33"/>
        <w:tblW w:w="10884"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919"/>
        <w:gridCol w:w="3595"/>
        <w:gridCol w:w="5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73" w:type="dxa"/>
            <w:vAlign w:val="center"/>
          </w:tcPr>
          <w:p>
            <w:pPr>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4514" w:type="dxa"/>
            <w:gridSpan w:val="2"/>
            <w:vAlign w:val="center"/>
          </w:tcPr>
          <w:p>
            <w:pPr>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检查因素</w:t>
            </w:r>
          </w:p>
        </w:tc>
        <w:tc>
          <w:tcPr>
            <w:tcW w:w="5897" w:type="dxa"/>
            <w:vAlign w:val="center"/>
          </w:tcPr>
          <w:p>
            <w:pPr>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473" w:type="dxa"/>
            <w:vMerge w:val="restart"/>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919" w:type="dxa"/>
            <w:vMerge w:val="restart"/>
            <w:vAlign w:val="center"/>
          </w:tcPr>
          <w:p>
            <w:pPr>
              <w:spacing w:line="276" w:lineRule="auto"/>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参竞人应符合的基本资格条件</w:t>
            </w:r>
          </w:p>
        </w:tc>
        <w:tc>
          <w:tcPr>
            <w:tcW w:w="3595" w:type="dxa"/>
            <w:vAlign w:val="center"/>
          </w:tcPr>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（1）具有独立承担民事责任的能力</w:t>
            </w:r>
          </w:p>
        </w:tc>
        <w:tc>
          <w:tcPr>
            <w:tcW w:w="5897" w:type="dxa"/>
            <w:vAlign w:val="center"/>
          </w:tcPr>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参竞人营业执照复印件，以及参竞人法定代表人身份证明和授权代表委托书。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trPr>
        <w:tc>
          <w:tcPr>
            <w:tcW w:w="473" w:type="dxa"/>
            <w:vMerge w:val="continue"/>
            <w:vAlign w:val="center"/>
          </w:tcPr>
          <w:p>
            <w:pPr>
              <w:spacing w:line="276" w:lineRule="auto"/>
              <w:jc w:val="center"/>
              <w:rPr>
                <w:rFonts w:ascii="宋体" w:hAnsi="宋体" w:eastAsia="宋体" w:cs="宋体"/>
                <w:sz w:val="24"/>
                <w:szCs w:val="24"/>
                <w:highlight w:val="none"/>
              </w:rPr>
            </w:pPr>
          </w:p>
        </w:tc>
        <w:tc>
          <w:tcPr>
            <w:tcW w:w="919" w:type="dxa"/>
            <w:vMerge w:val="continue"/>
            <w:vAlign w:val="center"/>
          </w:tcPr>
          <w:p>
            <w:pPr>
              <w:spacing w:line="276" w:lineRule="auto"/>
              <w:rPr>
                <w:rFonts w:ascii="宋体" w:hAnsi="宋体" w:eastAsia="宋体" w:cs="宋体"/>
                <w:sz w:val="24"/>
                <w:szCs w:val="24"/>
                <w:highlight w:val="none"/>
                <w:lang w:val="zh-CN"/>
              </w:rPr>
            </w:pPr>
          </w:p>
        </w:tc>
        <w:tc>
          <w:tcPr>
            <w:tcW w:w="3595" w:type="dxa"/>
            <w:vAlign w:val="center"/>
          </w:tcPr>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lang w:val="zh-CN"/>
              </w:rPr>
              <w:t>（2）</w:t>
            </w:r>
            <w:r>
              <w:rPr>
                <w:rFonts w:hint="eastAsia" w:ascii="宋体" w:hAnsi="宋体" w:eastAsia="宋体" w:cs="宋体"/>
                <w:sz w:val="24"/>
                <w:szCs w:val="24"/>
                <w:highlight w:val="none"/>
              </w:rPr>
              <w:t>具有良好的商业信誉和健全的财务会计制度</w:t>
            </w:r>
          </w:p>
        </w:tc>
        <w:tc>
          <w:tcPr>
            <w:tcW w:w="5897" w:type="dxa"/>
            <w:vAlign w:val="center"/>
          </w:tcPr>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参竞人商业信誉情况，以及最近一年度财务报表复印件。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473" w:type="dxa"/>
            <w:vMerge w:val="continue"/>
            <w:vAlign w:val="center"/>
          </w:tcPr>
          <w:p>
            <w:pPr>
              <w:spacing w:line="276" w:lineRule="auto"/>
              <w:jc w:val="center"/>
              <w:rPr>
                <w:rFonts w:ascii="宋体" w:hAnsi="宋体" w:eastAsia="宋体" w:cs="宋体"/>
                <w:sz w:val="24"/>
                <w:szCs w:val="24"/>
                <w:highlight w:val="none"/>
              </w:rPr>
            </w:pPr>
          </w:p>
        </w:tc>
        <w:tc>
          <w:tcPr>
            <w:tcW w:w="919" w:type="dxa"/>
            <w:vMerge w:val="continue"/>
            <w:vAlign w:val="center"/>
          </w:tcPr>
          <w:p>
            <w:pPr>
              <w:spacing w:line="276" w:lineRule="auto"/>
              <w:rPr>
                <w:rFonts w:ascii="宋体" w:hAnsi="宋体" w:eastAsia="宋体" w:cs="宋体"/>
                <w:sz w:val="24"/>
                <w:szCs w:val="24"/>
                <w:highlight w:val="none"/>
                <w:lang w:val="zh-CN"/>
              </w:rPr>
            </w:pPr>
          </w:p>
        </w:tc>
        <w:tc>
          <w:tcPr>
            <w:tcW w:w="3595" w:type="dxa"/>
            <w:vAlign w:val="center"/>
          </w:tcPr>
          <w:p>
            <w:pPr>
              <w:spacing w:line="276" w:lineRule="auto"/>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（3）具有履行合同所需的专业技术能力</w:t>
            </w:r>
          </w:p>
        </w:tc>
        <w:tc>
          <w:tcPr>
            <w:tcW w:w="5897" w:type="dxa"/>
            <w:vAlign w:val="center"/>
          </w:tcPr>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承诺</w:t>
            </w:r>
            <w:r>
              <w:rPr>
                <w:rFonts w:hint="eastAsia" w:ascii="宋体" w:hAnsi="宋体" w:eastAsia="宋体" w:cs="宋体"/>
                <w:sz w:val="24"/>
                <w:szCs w:val="24"/>
                <w:highlight w:val="none"/>
                <w:lang w:val="zh-CN"/>
              </w:rPr>
              <w:t>具有履行合同所需的专业技术能力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473" w:type="dxa"/>
            <w:vMerge w:val="continue"/>
            <w:vAlign w:val="center"/>
          </w:tcPr>
          <w:p>
            <w:pPr>
              <w:spacing w:line="276" w:lineRule="auto"/>
              <w:jc w:val="center"/>
              <w:rPr>
                <w:rFonts w:ascii="宋体" w:hAnsi="宋体" w:eastAsia="宋体" w:cs="宋体"/>
                <w:sz w:val="24"/>
                <w:szCs w:val="24"/>
                <w:highlight w:val="none"/>
              </w:rPr>
            </w:pPr>
          </w:p>
        </w:tc>
        <w:tc>
          <w:tcPr>
            <w:tcW w:w="919" w:type="dxa"/>
            <w:vMerge w:val="continue"/>
            <w:vAlign w:val="center"/>
          </w:tcPr>
          <w:p>
            <w:pPr>
              <w:spacing w:line="276" w:lineRule="auto"/>
              <w:rPr>
                <w:rFonts w:ascii="宋体" w:hAnsi="宋体" w:eastAsia="宋体" w:cs="宋体"/>
                <w:sz w:val="24"/>
                <w:szCs w:val="24"/>
                <w:highlight w:val="none"/>
                <w:lang w:val="zh-CN"/>
              </w:rPr>
            </w:pPr>
          </w:p>
        </w:tc>
        <w:tc>
          <w:tcPr>
            <w:tcW w:w="3595" w:type="dxa"/>
            <w:vAlign w:val="center"/>
          </w:tcPr>
          <w:p>
            <w:pPr>
              <w:spacing w:line="276" w:lineRule="auto"/>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（4）有依法缴纳税收和社会保障金的良好记录</w:t>
            </w:r>
          </w:p>
        </w:tc>
        <w:tc>
          <w:tcPr>
            <w:tcW w:w="5897" w:type="dxa"/>
            <w:vAlign w:val="center"/>
          </w:tcPr>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202</w:t>
            </w:r>
            <w:r>
              <w:rPr>
                <w:rFonts w:ascii="宋体" w:hAnsi="宋体" w:eastAsia="宋体" w:cs="宋体"/>
                <w:sz w:val="24"/>
                <w:szCs w:val="24"/>
                <w:highlight w:val="none"/>
              </w:rPr>
              <w:t>3</w:t>
            </w:r>
            <w:r>
              <w:rPr>
                <w:rFonts w:hint="eastAsia" w:ascii="宋体" w:hAnsi="宋体" w:eastAsia="宋体" w:cs="宋体"/>
                <w:sz w:val="24"/>
                <w:szCs w:val="24"/>
                <w:highlight w:val="none"/>
                <w:lang w:val="en-US" w:eastAsia="zh-CN"/>
              </w:rPr>
              <w:t>年1月1日</w:t>
            </w:r>
            <w:r>
              <w:rPr>
                <w:rFonts w:hint="eastAsia" w:ascii="宋体" w:hAnsi="宋体" w:eastAsia="宋体" w:cs="宋体"/>
                <w:sz w:val="24"/>
                <w:szCs w:val="24"/>
                <w:highlight w:val="none"/>
              </w:rPr>
              <w:t>至</w:t>
            </w:r>
            <w:r>
              <w:rPr>
                <w:rFonts w:hint="eastAsia" w:ascii="宋体" w:hAnsi="宋体" w:eastAsia="宋体" w:cs="宋体"/>
                <w:sz w:val="24"/>
                <w:szCs w:val="24"/>
                <w:highlight w:val="none"/>
                <w:lang w:val="en-US" w:eastAsia="zh-CN"/>
              </w:rPr>
              <w:t>2024年12月31日</w:t>
            </w:r>
            <w:r>
              <w:rPr>
                <w:rFonts w:hint="eastAsia" w:ascii="宋体" w:hAnsi="宋体" w:eastAsia="宋体" w:cs="宋体"/>
                <w:sz w:val="24"/>
                <w:szCs w:val="24"/>
                <w:highlight w:val="none"/>
              </w:rPr>
              <w:t>缴税及</w:t>
            </w:r>
            <w:r>
              <w:rPr>
                <w:rFonts w:hint="eastAsia" w:ascii="宋体" w:hAnsi="宋体" w:eastAsia="宋体" w:cs="宋体"/>
                <w:sz w:val="24"/>
                <w:szCs w:val="24"/>
                <w:highlight w:val="none"/>
                <w:lang w:val="zh-CN"/>
              </w:rPr>
              <w:t>社会保障金</w:t>
            </w:r>
            <w:r>
              <w:rPr>
                <w:rFonts w:hint="eastAsia" w:ascii="宋体" w:hAnsi="宋体" w:eastAsia="宋体" w:cs="宋体"/>
                <w:sz w:val="24"/>
                <w:szCs w:val="24"/>
                <w:highlight w:val="none"/>
              </w:rPr>
              <w:t>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473" w:type="dxa"/>
            <w:vMerge w:val="continue"/>
            <w:vAlign w:val="center"/>
          </w:tcPr>
          <w:p>
            <w:pPr>
              <w:spacing w:line="276" w:lineRule="auto"/>
              <w:jc w:val="center"/>
              <w:rPr>
                <w:rFonts w:ascii="宋体" w:hAnsi="宋体" w:eastAsia="宋体" w:cs="宋体"/>
                <w:sz w:val="24"/>
                <w:szCs w:val="24"/>
                <w:highlight w:val="none"/>
              </w:rPr>
            </w:pPr>
          </w:p>
        </w:tc>
        <w:tc>
          <w:tcPr>
            <w:tcW w:w="919" w:type="dxa"/>
            <w:vMerge w:val="continue"/>
            <w:vAlign w:val="center"/>
          </w:tcPr>
          <w:p>
            <w:pPr>
              <w:spacing w:line="276" w:lineRule="auto"/>
              <w:rPr>
                <w:rFonts w:ascii="宋体" w:hAnsi="宋体" w:eastAsia="宋体" w:cs="宋体"/>
                <w:sz w:val="24"/>
                <w:szCs w:val="24"/>
                <w:highlight w:val="none"/>
                <w:lang w:val="zh-CN"/>
              </w:rPr>
            </w:pPr>
          </w:p>
        </w:tc>
        <w:tc>
          <w:tcPr>
            <w:tcW w:w="3595" w:type="dxa"/>
            <w:vAlign w:val="center"/>
          </w:tcPr>
          <w:p>
            <w:pPr>
              <w:spacing w:line="276" w:lineRule="auto"/>
              <w:rPr>
                <w:rFonts w:ascii="宋体" w:hAnsi="宋体" w:eastAsia="宋体" w:cs="宋体"/>
                <w:sz w:val="24"/>
                <w:szCs w:val="24"/>
                <w:highlight w:val="none"/>
                <w:lang w:val="zh-CN"/>
              </w:rPr>
            </w:pPr>
            <w:r>
              <w:rPr>
                <w:rFonts w:hint="eastAsia" w:ascii="宋体" w:hAnsi="宋体" w:eastAsia="宋体" w:cs="宋体"/>
                <w:sz w:val="24"/>
                <w:szCs w:val="24"/>
                <w:highlight w:val="none"/>
              </w:rPr>
              <w:t>（5）近三年内，在经营活动中没有重大违法记录</w:t>
            </w:r>
          </w:p>
        </w:tc>
        <w:tc>
          <w:tcPr>
            <w:tcW w:w="5897" w:type="dxa"/>
            <w:vAlign w:val="center"/>
          </w:tcPr>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参加本项目前三年内无重大违法记录声明，以及提供是否存在失信被执行人或正在被执行的情况说明。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473" w:type="dxa"/>
            <w:vAlign w:val="center"/>
          </w:tcPr>
          <w:p>
            <w:pPr>
              <w:spacing w:line="276" w:lineRule="auto"/>
              <w:jc w:val="center"/>
              <w:rPr>
                <w:rFonts w:ascii="宋体" w:hAnsi="宋体" w:eastAsia="宋体" w:cs="宋体"/>
                <w:sz w:val="24"/>
                <w:szCs w:val="24"/>
                <w:highlight w:val="none"/>
              </w:rPr>
            </w:pPr>
          </w:p>
        </w:tc>
        <w:tc>
          <w:tcPr>
            <w:tcW w:w="919" w:type="dxa"/>
            <w:vAlign w:val="center"/>
          </w:tcPr>
          <w:p>
            <w:pPr>
              <w:spacing w:line="276" w:lineRule="auto"/>
              <w:rPr>
                <w:rFonts w:ascii="宋体" w:hAnsi="宋体" w:eastAsia="宋体" w:cs="宋体"/>
                <w:sz w:val="24"/>
                <w:szCs w:val="24"/>
                <w:highlight w:val="none"/>
                <w:lang w:val="zh-CN"/>
              </w:rPr>
            </w:pPr>
          </w:p>
        </w:tc>
        <w:tc>
          <w:tcPr>
            <w:tcW w:w="3595" w:type="dxa"/>
            <w:vAlign w:val="center"/>
          </w:tcPr>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（6）法律、行政法规规定的其他条件。</w:t>
            </w:r>
          </w:p>
        </w:tc>
        <w:tc>
          <w:tcPr>
            <w:tcW w:w="5897" w:type="dxa"/>
            <w:vAlign w:val="center"/>
          </w:tcPr>
          <w:p>
            <w:pPr>
              <w:spacing w:line="276" w:lineRule="auto"/>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0" w:hRule="atLeast"/>
        </w:trPr>
        <w:tc>
          <w:tcPr>
            <w:tcW w:w="473"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2</w:t>
            </w:r>
          </w:p>
        </w:tc>
        <w:tc>
          <w:tcPr>
            <w:tcW w:w="4514" w:type="dxa"/>
            <w:gridSpan w:val="2"/>
            <w:vAlign w:val="center"/>
          </w:tcPr>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参竞人必须符合的特定资格条件（要求）</w:t>
            </w:r>
          </w:p>
        </w:tc>
        <w:tc>
          <w:tcPr>
            <w:tcW w:w="5897" w:type="dxa"/>
            <w:vAlign w:val="center"/>
          </w:tcPr>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1.持有有效的《食品经营许可证》。</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2.应具备独立的法人资格，注册资本不低于2000万人民币。</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3.在202</w:t>
            </w:r>
            <w:r>
              <w:rPr>
                <w:rFonts w:ascii="宋体" w:hAnsi="宋体" w:eastAsia="宋体" w:cs="宋体"/>
                <w:sz w:val="24"/>
                <w:szCs w:val="24"/>
                <w:highlight w:val="none"/>
              </w:rPr>
              <w:t>5</w:t>
            </w:r>
            <w:r>
              <w:rPr>
                <w:rFonts w:hint="eastAsia" w:ascii="宋体" w:hAnsi="宋体" w:eastAsia="宋体" w:cs="宋体"/>
                <w:sz w:val="24"/>
                <w:szCs w:val="24"/>
                <w:highlight w:val="none"/>
              </w:rPr>
              <w:t>年</w:t>
            </w:r>
            <w:r>
              <w:rPr>
                <w:rFonts w:ascii="宋体" w:hAnsi="宋体" w:eastAsia="宋体" w:cs="宋体"/>
                <w:sz w:val="24"/>
                <w:szCs w:val="24"/>
                <w:highlight w:val="none"/>
              </w:rPr>
              <w:t>1</w:t>
            </w:r>
            <w:r>
              <w:rPr>
                <w:rFonts w:hint="eastAsia" w:ascii="宋体" w:hAnsi="宋体" w:eastAsia="宋体" w:cs="宋体"/>
                <w:sz w:val="24"/>
                <w:szCs w:val="24"/>
                <w:highlight w:val="none"/>
              </w:rPr>
              <w:t>月1日至202</w:t>
            </w:r>
            <w:r>
              <w:rPr>
                <w:rFonts w:ascii="宋体" w:hAnsi="宋体" w:eastAsia="宋体" w:cs="宋体"/>
                <w:sz w:val="24"/>
                <w:szCs w:val="24"/>
                <w:highlight w:val="none"/>
              </w:rPr>
              <w:t>5</w:t>
            </w:r>
            <w:r>
              <w:rPr>
                <w:rFonts w:hint="eastAsia" w:ascii="宋体" w:hAnsi="宋体" w:eastAsia="宋体" w:cs="宋体"/>
                <w:sz w:val="24"/>
                <w:szCs w:val="24"/>
                <w:highlight w:val="none"/>
              </w:rPr>
              <w:t>年</w:t>
            </w:r>
            <w:r>
              <w:rPr>
                <w:rFonts w:ascii="宋体" w:hAnsi="宋体" w:eastAsia="宋体" w:cs="宋体"/>
                <w:sz w:val="24"/>
                <w:szCs w:val="24"/>
                <w:highlight w:val="none"/>
              </w:rPr>
              <w:t>4</w:t>
            </w:r>
            <w:r>
              <w:rPr>
                <w:rFonts w:hint="eastAsia" w:ascii="宋体" w:hAnsi="宋体" w:eastAsia="宋体" w:cs="宋体"/>
                <w:sz w:val="24"/>
                <w:szCs w:val="24"/>
                <w:highlight w:val="none"/>
              </w:rPr>
              <w:t>月3</w:t>
            </w:r>
            <w:r>
              <w:rPr>
                <w:rFonts w:ascii="宋体" w:hAnsi="宋体" w:eastAsia="宋体" w:cs="宋体"/>
                <w:sz w:val="24"/>
                <w:szCs w:val="24"/>
                <w:highlight w:val="none"/>
              </w:rPr>
              <w:t>0</w:t>
            </w:r>
            <w:r>
              <w:rPr>
                <w:rFonts w:hint="eastAsia" w:ascii="宋体" w:hAnsi="宋体" w:eastAsia="宋体" w:cs="宋体"/>
                <w:sz w:val="24"/>
                <w:szCs w:val="24"/>
                <w:highlight w:val="none"/>
              </w:rPr>
              <w:t>日公司银行日均存款不少于100万元人民币。</w:t>
            </w:r>
          </w:p>
          <w:p>
            <w:pPr>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w:t>
            </w:r>
            <w:r>
              <w:rPr>
                <w:rFonts w:ascii="宋体" w:hAnsi="宋体" w:eastAsia="宋体" w:cs="宋体"/>
                <w:sz w:val="24"/>
                <w:szCs w:val="24"/>
                <w:highlight w:val="none"/>
              </w:rPr>
              <w:t>1）日均存款证明材料为由银行出具的含有2025年1月1日至2025年4月30日期间日均存款余额的银行资信证明或银行账户日余额对账单，若提供日余额对账单的，日均存款=日存款余额之和/120天；</w:t>
            </w:r>
          </w:p>
          <w:p>
            <w:pPr>
              <w:numPr>
                <w:ilvl w:val="0"/>
                <w:numId w:val="20"/>
              </w:num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 xml:space="preserve">参竞人有多个银行账户的，日均存款为多个银行账户日均存款之和。 </w:t>
            </w:r>
          </w:p>
          <w:p>
            <w:pPr>
              <w:numPr>
                <w:ilvl w:val="-1"/>
                <w:numId w:val="0"/>
              </w:num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4.需具有丰富的高校学生食堂管理经验，从事高校食堂经营管理不少于5年，2</w:t>
            </w:r>
            <w:r>
              <w:rPr>
                <w:rFonts w:ascii="宋体" w:hAnsi="宋体" w:eastAsia="宋体" w:cs="宋体"/>
                <w:sz w:val="24"/>
                <w:szCs w:val="24"/>
                <w:highlight w:val="none"/>
              </w:rPr>
              <w:t>025</w:t>
            </w:r>
            <w:r>
              <w:rPr>
                <w:rFonts w:hint="eastAsia" w:ascii="宋体" w:hAnsi="宋体" w:eastAsia="宋体" w:cs="宋体"/>
                <w:sz w:val="24"/>
                <w:szCs w:val="24"/>
                <w:highlight w:val="none"/>
              </w:rPr>
              <w:t>年6月3</w:t>
            </w:r>
            <w:r>
              <w:rPr>
                <w:rFonts w:ascii="宋体" w:hAnsi="宋体" w:eastAsia="宋体" w:cs="宋体"/>
                <w:sz w:val="24"/>
                <w:szCs w:val="24"/>
                <w:highlight w:val="none"/>
              </w:rPr>
              <w:t>0</w:t>
            </w:r>
            <w:r>
              <w:rPr>
                <w:rFonts w:hint="eastAsia" w:ascii="宋体" w:hAnsi="宋体" w:eastAsia="宋体" w:cs="宋体"/>
                <w:sz w:val="24"/>
                <w:szCs w:val="24"/>
                <w:highlight w:val="none"/>
              </w:rPr>
              <w:t>日仍</w:t>
            </w:r>
            <w:r>
              <w:rPr>
                <w:rFonts w:ascii="宋体" w:hAnsi="宋体" w:eastAsia="宋体" w:cs="宋体"/>
                <w:sz w:val="24"/>
                <w:szCs w:val="24"/>
                <w:highlight w:val="none"/>
              </w:rPr>
              <w:t>有经营的高校食堂不少于3个，</w:t>
            </w:r>
            <w:r>
              <w:rPr>
                <w:rFonts w:hint="eastAsia" w:ascii="宋体" w:hAnsi="宋体" w:eastAsia="宋体" w:cs="宋体"/>
                <w:sz w:val="24"/>
                <w:szCs w:val="24"/>
                <w:highlight w:val="none"/>
              </w:rPr>
              <w:t>且单个高校经营食堂总面积不少于2500平方米。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473" w:type="dxa"/>
            <w:vAlign w:val="center"/>
          </w:tcPr>
          <w:p>
            <w:pPr>
              <w:spacing w:line="276" w:lineRule="auto"/>
              <w:jc w:val="center"/>
              <w:rPr>
                <w:rFonts w:ascii="宋体" w:hAnsi="宋体" w:eastAsia="宋体" w:cs="宋体"/>
                <w:sz w:val="24"/>
                <w:szCs w:val="24"/>
                <w:highlight w:val="none"/>
              </w:rPr>
            </w:pPr>
            <w:r>
              <w:rPr>
                <w:rFonts w:ascii="宋体" w:hAnsi="宋体" w:eastAsia="宋体" w:cs="宋体"/>
                <w:sz w:val="24"/>
                <w:szCs w:val="24"/>
                <w:highlight w:val="none"/>
              </w:rPr>
              <w:t xml:space="preserve"> </w:t>
            </w:r>
            <w:r>
              <w:rPr>
                <w:rFonts w:hint="eastAsia" w:ascii="宋体" w:hAnsi="宋体" w:eastAsia="宋体" w:cs="宋体"/>
                <w:sz w:val="24"/>
                <w:szCs w:val="24"/>
                <w:highlight w:val="none"/>
              </w:rPr>
              <w:t>3</w:t>
            </w:r>
          </w:p>
        </w:tc>
        <w:tc>
          <w:tcPr>
            <w:tcW w:w="4514" w:type="dxa"/>
            <w:gridSpan w:val="2"/>
            <w:vAlign w:val="center"/>
          </w:tcPr>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参竞保证金</w:t>
            </w:r>
          </w:p>
        </w:tc>
        <w:tc>
          <w:tcPr>
            <w:tcW w:w="5897" w:type="dxa"/>
            <w:vAlign w:val="center"/>
          </w:tcPr>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参竞保证金缴纳凭证</w:t>
            </w:r>
          </w:p>
        </w:tc>
      </w:tr>
    </w:tbl>
    <w:p>
      <w:pPr>
        <w:snapToGrid w:val="0"/>
        <w:spacing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注：</w:t>
      </w:r>
    </w:p>
    <w:p>
      <w:pPr>
        <w:spacing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1. “重大违法记录”，是指参竞人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参竞人可于参竞截止日期前通过 “信用中国”网站(www.creditchina.gov.cn)、“中国政府采购网”(www.ccgp.gov.cn)等渠道查询信用记录</w:t>
      </w:r>
    </w:p>
    <w:p>
      <w:pPr>
        <w:spacing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2.符合性检查。依据食堂联合经营项目文件的规定，从参竞文件的有效性、完整性和对食堂联合经营项目文件的响应程度进行审查，以确定是否对食堂联合经营项目文件的实质性要求做出响应。</w:t>
      </w:r>
    </w:p>
    <w:p>
      <w:pPr>
        <w:spacing w:line="276" w:lineRule="auto"/>
        <w:ind w:firstLine="480" w:firstLineChars="200"/>
        <w:rPr>
          <w:rFonts w:ascii="宋体" w:hAnsi="宋体" w:eastAsia="宋体" w:cs="宋体"/>
          <w:kern w:val="0"/>
          <w:sz w:val="24"/>
          <w:szCs w:val="24"/>
          <w:highlight w:val="none"/>
        </w:rPr>
      </w:pPr>
    </w:p>
    <w:p>
      <w:pPr>
        <w:spacing w:line="276" w:lineRule="auto"/>
        <w:ind w:firstLine="480" w:firstLineChars="200"/>
        <w:rPr>
          <w:rFonts w:ascii="宋体" w:hAnsi="宋体" w:eastAsia="宋体" w:cs="宋体"/>
          <w:kern w:val="0"/>
          <w:sz w:val="24"/>
          <w:szCs w:val="24"/>
          <w:highlight w:val="none"/>
        </w:rPr>
      </w:pPr>
    </w:p>
    <w:p>
      <w:pPr>
        <w:spacing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符合性检查资料表如下：</w:t>
      </w:r>
    </w:p>
    <w:tbl>
      <w:tblPr>
        <w:tblStyle w:val="33"/>
        <w:tblW w:w="1091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2409"/>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09" w:type="dxa"/>
            <w:vAlign w:val="center"/>
          </w:tcPr>
          <w:p>
            <w:pPr>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4536" w:type="dxa"/>
            <w:gridSpan w:val="2"/>
            <w:vAlign w:val="center"/>
          </w:tcPr>
          <w:p>
            <w:pPr>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评审因素</w:t>
            </w:r>
          </w:p>
        </w:tc>
        <w:tc>
          <w:tcPr>
            <w:tcW w:w="5670" w:type="dxa"/>
            <w:vAlign w:val="center"/>
          </w:tcPr>
          <w:p>
            <w:pPr>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vMerge w:val="restart"/>
            <w:vAlign w:val="center"/>
          </w:tcPr>
          <w:p>
            <w:pPr>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2127" w:type="dxa"/>
            <w:vMerge w:val="restart"/>
            <w:vAlign w:val="center"/>
          </w:tcPr>
          <w:p>
            <w:pPr>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有效性审查</w:t>
            </w:r>
          </w:p>
        </w:tc>
        <w:tc>
          <w:tcPr>
            <w:tcW w:w="2409" w:type="dxa"/>
            <w:vAlign w:val="center"/>
          </w:tcPr>
          <w:p>
            <w:pPr>
              <w:spacing w:line="276" w:lineRule="auto"/>
              <w:rPr>
                <w:rFonts w:ascii="宋体" w:hAnsi="宋体" w:eastAsia="宋体" w:cs="宋体"/>
                <w:kern w:val="0"/>
                <w:sz w:val="24"/>
                <w:szCs w:val="24"/>
                <w:highlight w:val="none"/>
              </w:rPr>
            </w:pPr>
            <w:r>
              <w:rPr>
                <w:rFonts w:hint="eastAsia" w:ascii="宋体" w:hAnsi="宋体" w:eastAsia="宋体" w:cs="宋体"/>
                <w:sz w:val="24"/>
                <w:szCs w:val="24"/>
                <w:highlight w:val="none"/>
              </w:rPr>
              <w:t>参竞文件签署</w:t>
            </w:r>
          </w:p>
        </w:tc>
        <w:tc>
          <w:tcPr>
            <w:tcW w:w="5670" w:type="dxa"/>
            <w:vAlign w:val="center"/>
          </w:tcPr>
          <w:p>
            <w:pPr>
              <w:spacing w:line="276" w:lineRule="auto"/>
              <w:rPr>
                <w:rFonts w:ascii="宋体" w:hAnsi="宋体" w:eastAsia="宋体" w:cs="宋体"/>
                <w:kern w:val="0"/>
                <w:sz w:val="24"/>
                <w:szCs w:val="24"/>
                <w:highlight w:val="none"/>
              </w:rPr>
            </w:pPr>
            <w:r>
              <w:rPr>
                <w:rFonts w:hint="eastAsia" w:ascii="宋体" w:hAnsi="宋体" w:eastAsia="宋体" w:cs="宋体"/>
                <w:sz w:val="24"/>
                <w:szCs w:val="24"/>
                <w:highlight w:val="none"/>
              </w:rPr>
              <w:t>参竞文件上法定代表人或其授权代表人的签字齐全。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09" w:type="dxa"/>
            <w:vMerge w:val="continue"/>
            <w:vAlign w:val="center"/>
          </w:tcPr>
          <w:p>
            <w:pPr>
              <w:spacing w:line="276" w:lineRule="auto"/>
              <w:jc w:val="center"/>
              <w:rPr>
                <w:rFonts w:ascii="宋体" w:hAnsi="宋体" w:eastAsia="宋体" w:cs="宋体"/>
                <w:kern w:val="0"/>
                <w:sz w:val="24"/>
                <w:szCs w:val="24"/>
                <w:highlight w:val="none"/>
              </w:rPr>
            </w:pPr>
          </w:p>
        </w:tc>
        <w:tc>
          <w:tcPr>
            <w:tcW w:w="2127" w:type="dxa"/>
            <w:vMerge w:val="continue"/>
            <w:vAlign w:val="center"/>
          </w:tcPr>
          <w:p>
            <w:pPr>
              <w:spacing w:line="276" w:lineRule="auto"/>
              <w:rPr>
                <w:rFonts w:ascii="宋体" w:hAnsi="宋体" w:eastAsia="宋体" w:cs="宋体"/>
                <w:kern w:val="0"/>
                <w:sz w:val="24"/>
                <w:szCs w:val="24"/>
                <w:highlight w:val="none"/>
              </w:rPr>
            </w:pPr>
          </w:p>
        </w:tc>
        <w:tc>
          <w:tcPr>
            <w:tcW w:w="2409" w:type="dxa"/>
            <w:vAlign w:val="center"/>
          </w:tcPr>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法定代表人身份证明及授权委托书</w:t>
            </w:r>
          </w:p>
        </w:tc>
        <w:tc>
          <w:tcPr>
            <w:tcW w:w="5670" w:type="dxa"/>
            <w:vAlign w:val="center"/>
          </w:tcPr>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法定代表人身份证明及授权委托书有效，且符合食堂联合经营项目文件规定的格式。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vMerge w:val="continue"/>
            <w:vAlign w:val="center"/>
          </w:tcPr>
          <w:p>
            <w:pPr>
              <w:spacing w:line="276" w:lineRule="auto"/>
              <w:jc w:val="center"/>
              <w:rPr>
                <w:rFonts w:ascii="宋体" w:hAnsi="宋体" w:eastAsia="宋体" w:cs="宋体"/>
                <w:kern w:val="0"/>
                <w:sz w:val="24"/>
                <w:szCs w:val="24"/>
                <w:highlight w:val="none"/>
              </w:rPr>
            </w:pPr>
          </w:p>
        </w:tc>
        <w:tc>
          <w:tcPr>
            <w:tcW w:w="2127" w:type="dxa"/>
            <w:vMerge w:val="continue"/>
            <w:vAlign w:val="center"/>
          </w:tcPr>
          <w:p>
            <w:pPr>
              <w:spacing w:line="276" w:lineRule="auto"/>
              <w:rPr>
                <w:rFonts w:ascii="宋体" w:hAnsi="宋体" w:eastAsia="宋体" w:cs="宋体"/>
                <w:kern w:val="0"/>
                <w:sz w:val="24"/>
                <w:szCs w:val="24"/>
                <w:highlight w:val="none"/>
              </w:rPr>
            </w:pPr>
          </w:p>
        </w:tc>
        <w:tc>
          <w:tcPr>
            <w:tcW w:w="2409" w:type="dxa"/>
            <w:vAlign w:val="center"/>
          </w:tcPr>
          <w:p>
            <w:pPr>
              <w:spacing w:line="276" w:lineRule="auto"/>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参竞人案</w:t>
            </w:r>
          </w:p>
        </w:tc>
        <w:tc>
          <w:tcPr>
            <w:tcW w:w="5670" w:type="dxa"/>
            <w:vAlign w:val="center"/>
          </w:tcPr>
          <w:p>
            <w:pPr>
              <w:spacing w:line="276" w:lineRule="auto"/>
              <w:rPr>
                <w:rFonts w:ascii="宋体" w:hAnsi="宋体" w:eastAsia="宋体" w:cs="宋体"/>
                <w:kern w:val="0"/>
                <w:sz w:val="24"/>
                <w:szCs w:val="24"/>
                <w:highlight w:val="none"/>
              </w:rPr>
            </w:pPr>
            <w:r>
              <w:rPr>
                <w:rFonts w:hint="eastAsia" w:ascii="宋体" w:hAnsi="宋体" w:eastAsia="宋体" w:cs="宋体"/>
                <w:sz w:val="24"/>
                <w:szCs w:val="24"/>
                <w:highlight w:val="none"/>
              </w:rPr>
              <w:t>每个参竞人只能有一个方案。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9" w:type="dxa"/>
            <w:vMerge w:val="continue"/>
            <w:vAlign w:val="center"/>
          </w:tcPr>
          <w:p>
            <w:pPr>
              <w:spacing w:line="276" w:lineRule="auto"/>
              <w:jc w:val="center"/>
              <w:rPr>
                <w:rFonts w:ascii="宋体" w:hAnsi="宋体" w:eastAsia="宋体" w:cs="宋体"/>
                <w:kern w:val="0"/>
                <w:sz w:val="24"/>
                <w:szCs w:val="24"/>
                <w:highlight w:val="none"/>
              </w:rPr>
            </w:pPr>
          </w:p>
        </w:tc>
        <w:tc>
          <w:tcPr>
            <w:tcW w:w="2127" w:type="dxa"/>
            <w:vMerge w:val="continue"/>
            <w:vAlign w:val="center"/>
          </w:tcPr>
          <w:p>
            <w:pPr>
              <w:spacing w:line="276" w:lineRule="auto"/>
              <w:rPr>
                <w:rFonts w:ascii="宋体" w:hAnsi="宋体" w:eastAsia="宋体" w:cs="宋体"/>
                <w:kern w:val="0"/>
                <w:sz w:val="24"/>
                <w:szCs w:val="24"/>
                <w:highlight w:val="none"/>
              </w:rPr>
            </w:pPr>
          </w:p>
        </w:tc>
        <w:tc>
          <w:tcPr>
            <w:tcW w:w="2409" w:type="dxa"/>
            <w:vAlign w:val="center"/>
          </w:tcPr>
          <w:p>
            <w:pPr>
              <w:spacing w:line="276" w:lineRule="auto"/>
              <w:rPr>
                <w:rFonts w:ascii="宋体" w:hAnsi="宋体" w:eastAsia="宋体" w:cs="宋体"/>
                <w:sz w:val="24"/>
                <w:szCs w:val="24"/>
                <w:highlight w:val="none"/>
                <w:lang w:val="zh-CN"/>
              </w:rPr>
            </w:pPr>
            <w:r>
              <w:rPr>
                <w:rFonts w:hint="eastAsia" w:ascii="宋体" w:hAnsi="宋体" w:eastAsia="宋体" w:cs="宋体"/>
                <w:sz w:val="24"/>
                <w:szCs w:val="24"/>
                <w:highlight w:val="none"/>
              </w:rPr>
              <w:t>报价唯一</w:t>
            </w:r>
          </w:p>
        </w:tc>
        <w:tc>
          <w:tcPr>
            <w:tcW w:w="5670" w:type="dxa"/>
            <w:vAlign w:val="center"/>
          </w:tcPr>
          <w:p>
            <w:pPr>
              <w:spacing w:line="276" w:lineRule="auto"/>
              <w:rPr>
                <w:rFonts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continue"/>
            <w:vAlign w:val="center"/>
          </w:tcPr>
          <w:p>
            <w:pPr>
              <w:spacing w:line="276" w:lineRule="auto"/>
              <w:jc w:val="center"/>
              <w:rPr>
                <w:rFonts w:ascii="宋体" w:hAnsi="宋体" w:eastAsia="宋体" w:cs="宋体"/>
                <w:kern w:val="0"/>
                <w:sz w:val="24"/>
                <w:szCs w:val="24"/>
                <w:highlight w:val="none"/>
              </w:rPr>
            </w:pPr>
          </w:p>
        </w:tc>
        <w:tc>
          <w:tcPr>
            <w:tcW w:w="2127" w:type="dxa"/>
            <w:vMerge w:val="continue"/>
            <w:vAlign w:val="center"/>
          </w:tcPr>
          <w:p>
            <w:pPr>
              <w:spacing w:line="276" w:lineRule="auto"/>
              <w:rPr>
                <w:rFonts w:ascii="宋体" w:hAnsi="宋体" w:eastAsia="宋体" w:cs="宋体"/>
                <w:kern w:val="0"/>
                <w:sz w:val="24"/>
                <w:szCs w:val="24"/>
                <w:highlight w:val="none"/>
              </w:rPr>
            </w:pPr>
          </w:p>
        </w:tc>
        <w:tc>
          <w:tcPr>
            <w:tcW w:w="2409" w:type="dxa"/>
            <w:vAlign w:val="center"/>
          </w:tcPr>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参竞保证金</w:t>
            </w:r>
          </w:p>
        </w:tc>
        <w:tc>
          <w:tcPr>
            <w:tcW w:w="5670" w:type="dxa"/>
            <w:vAlign w:val="center"/>
          </w:tcPr>
          <w:p>
            <w:pPr>
              <w:spacing w:line="276" w:lineRule="auto"/>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按时、足额缴纳参竞保证金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09" w:type="dxa"/>
            <w:vMerge w:val="restart"/>
            <w:vAlign w:val="center"/>
          </w:tcPr>
          <w:p>
            <w:pPr>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2127" w:type="dxa"/>
            <w:vMerge w:val="restart"/>
            <w:vAlign w:val="center"/>
          </w:tcPr>
          <w:p>
            <w:pPr>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完整性审查</w:t>
            </w:r>
          </w:p>
        </w:tc>
        <w:tc>
          <w:tcPr>
            <w:tcW w:w="2409" w:type="dxa"/>
            <w:vAlign w:val="center"/>
          </w:tcPr>
          <w:p>
            <w:pPr>
              <w:spacing w:line="276" w:lineRule="auto"/>
              <w:rPr>
                <w:rFonts w:ascii="宋体" w:hAnsi="宋体" w:eastAsia="宋体" w:cs="宋体"/>
                <w:kern w:val="0"/>
                <w:sz w:val="24"/>
                <w:szCs w:val="24"/>
                <w:highlight w:val="none"/>
              </w:rPr>
            </w:pPr>
            <w:r>
              <w:rPr>
                <w:rFonts w:hint="eastAsia" w:ascii="宋体" w:hAnsi="宋体" w:eastAsia="宋体" w:cs="宋体"/>
                <w:sz w:val="24"/>
                <w:szCs w:val="24"/>
                <w:highlight w:val="none"/>
                <w:lang w:val="zh-CN"/>
              </w:rPr>
              <w:t>参竞文件份数</w:t>
            </w:r>
          </w:p>
        </w:tc>
        <w:tc>
          <w:tcPr>
            <w:tcW w:w="5670" w:type="dxa"/>
            <w:vAlign w:val="center"/>
          </w:tcPr>
          <w:p>
            <w:pPr>
              <w:spacing w:line="276" w:lineRule="auto"/>
              <w:rPr>
                <w:rFonts w:ascii="宋体" w:hAnsi="宋体" w:eastAsia="宋体" w:cs="宋体"/>
                <w:kern w:val="0"/>
                <w:sz w:val="24"/>
                <w:szCs w:val="24"/>
                <w:highlight w:val="none"/>
              </w:rPr>
            </w:pPr>
            <w:r>
              <w:rPr>
                <w:rFonts w:hint="eastAsia" w:ascii="宋体" w:hAnsi="宋体" w:eastAsia="宋体" w:cs="宋体"/>
                <w:sz w:val="24"/>
                <w:szCs w:val="24"/>
                <w:highlight w:val="none"/>
                <w:lang w:val="zh-CN"/>
              </w:rPr>
              <w:t>参竞文件正本、副本数量符合食堂联合经营项目文件要求。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Merge w:val="continue"/>
            <w:vAlign w:val="center"/>
          </w:tcPr>
          <w:p>
            <w:pPr>
              <w:spacing w:line="276" w:lineRule="auto"/>
              <w:jc w:val="center"/>
              <w:rPr>
                <w:rFonts w:ascii="宋体" w:hAnsi="宋体" w:eastAsia="宋体" w:cs="宋体"/>
                <w:kern w:val="0"/>
                <w:sz w:val="24"/>
                <w:szCs w:val="24"/>
                <w:highlight w:val="none"/>
              </w:rPr>
            </w:pPr>
          </w:p>
        </w:tc>
        <w:tc>
          <w:tcPr>
            <w:tcW w:w="2127" w:type="dxa"/>
            <w:vMerge w:val="continue"/>
            <w:vAlign w:val="center"/>
          </w:tcPr>
          <w:p>
            <w:pPr>
              <w:spacing w:line="276" w:lineRule="auto"/>
              <w:rPr>
                <w:rFonts w:ascii="宋体" w:hAnsi="宋体" w:eastAsia="宋体" w:cs="宋体"/>
                <w:kern w:val="0"/>
                <w:sz w:val="24"/>
                <w:szCs w:val="24"/>
                <w:highlight w:val="none"/>
              </w:rPr>
            </w:pPr>
          </w:p>
        </w:tc>
        <w:tc>
          <w:tcPr>
            <w:tcW w:w="2409" w:type="dxa"/>
            <w:vAlign w:val="center"/>
          </w:tcPr>
          <w:p>
            <w:pPr>
              <w:spacing w:line="276" w:lineRule="auto"/>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参竞文件内容</w:t>
            </w:r>
          </w:p>
        </w:tc>
        <w:tc>
          <w:tcPr>
            <w:tcW w:w="5670" w:type="dxa"/>
            <w:vAlign w:val="center"/>
          </w:tcPr>
          <w:p>
            <w:pPr>
              <w:spacing w:line="276" w:lineRule="auto"/>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参竞文件内容齐全、无遗漏。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vMerge w:val="restart"/>
            <w:vAlign w:val="center"/>
          </w:tcPr>
          <w:p>
            <w:pPr>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3</w:t>
            </w:r>
          </w:p>
        </w:tc>
        <w:tc>
          <w:tcPr>
            <w:tcW w:w="2127" w:type="dxa"/>
            <w:vMerge w:val="restart"/>
            <w:vAlign w:val="center"/>
          </w:tcPr>
          <w:p>
            <w:pPr>
              <w:spacing w:line="276" w:lineRule="auto"/>
              <w:rPr>
                <w:rFonts w:ascii="宋体" w:hAnsi="宋体" w:eastAsia="宋体" w:cs="宋体"/>
                <w:sz w:val="24"/>
                <w:szCs w:val="24"/>
                <w:highlight w:val="none"/>
                <w:lang w:val="zh-CN"/>
              </w:rPr>
            </w:pPr>
            <w:r>
              <w:rPr>
                <w:rFonts w:hint="eastAsia" w:ascii="宋体" w:hAnsi="宋体" w:eastAsia="宋体" w:cs="宋体"/>
                <w:kern w:val="0"/>
                <w:sz w:val="24"/>
                <w:szCs w:val="24"/>
                <w:highlight w:val="none"/>
              </w:rPr>
              <w:t>食堂联合经营项目文件的响应程度审查</w:t>
            </w:r>
          </w:p>
        </w:tc>
        <w:tc>
          <w:tcPr>
            <w:tcW w:w="2409" w:type="dxa"/>
            <w:vAlign w:val="center"/>
          </w:tcPr>
          <w:p>
            <w:pPr>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参竞文件内容</w:t>
            </w:r>
          </w:p>
        </w:tc>
        <w:tc>
          <w:tcPr>
            <w:tcW w:w="5670" w:type="dxa"/>
            <w:vAlign w:val="center"/>
          </w:tcPr>
          <w:p>
            <w:pPr>
              <w:pStyle w:val="143"/>
              <w:spacing w:line="276" w:lineRule="auto"/>
              <w:rPr>
                <w:rFonts w:ascii="宋体" w:hAnsi="宋体" w:cs="宋体"/>
                <w:kern w:val="0"/>
                <w:sz w:val="24"/>
                <w:szCs w:val="24"/>
                <w:highlight w:val="none"/>
              </w:rPr>
            </w:pPr>
            <w:r>
              <w:rPr>
                <w:rFonts w:hint="eastAsia" w:ascii="宋体" w:hAnsi="宋体" w:cs="宋体"/>
                <w:kern w:val="0"/>
                <w:sz w:val="24"/>
                <w:szCs w:val="24"/>
                <w:highlight w:val="none"/>
              </w:rPr>
              <w:t>对食堂联合经营项目文件第一篇和第二篇规定的内容全部做出响应。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9" w:type="dxa"/>
            <w:vMerge w:val="continue"/>
            <w:vAlign w:val="center"/>
          </w:tcPr>
          <w:p>
            <w:pPr>
              <w:spacing w:line="276" w:lineRule="auto"/>
              <w:jc w:val="center"/>
              <w:rPr>
                <w:rFonts w:ascii="宋体" w:hAnsi="宋体" w:eastAsia="宋体" w:cs="宋体"/>
                <w:kern w:val="0"/>
                <w:sz w:val="24"/>
                <w:szCs w:val="24"/>
                <w:highlight w:val="none"/>
              </w:rPr>
            </w:pPr>
          </w:p>
        </w:tc>
        <w:tc>
          <w:tcPr>
            <w:tcW w:w="2127" w:type="dxa"/>
            <w:vMerge w:val="continue"/>
            <w:vAlign w:val="center"/>
          </w:tcPr>
          <w:p>
            <w:pPr>
              <w:spacing w:line="276" w:lineRule="auto"/>
              <w:rPr>
                <w:rFonts w:ascii="宋体" w:hAnsi="宋体" w:eastAsia="宋体" w:cs="宋体"/>
                <w:kern w:val="0"/>
                <w:sz w:val="24"/>
                <w:szCs w:val="24"/>
                <w:highlight w:val="none"/>
              </w:rPr>
            </w:pPr>
          </w:p>
        </w:tc>
        <w:tc>
          <w:tcPr>
            <w:tcW w:w="2409" w:type="dxa"/>
            <w:vAlign w:val="center"/>
          </w:tcPr>
          <w:p>
            <w:pPr>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完成期限</w:t>
            </w:r>
          </w:p>
        </w:tc>
        <w:tc>
          <w:tcPr>
            <w:tcW w:w="5670" w:type="dxa"/>
            <w:vAlign w:val="center"/>
          </w:tcPr>
          <w:p>
            <w:pPr>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满足食堂联合经营项目文件要求。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09" w:type="dxa"/>
            <w:vMerge w:val="continue"/>
            <w:vAlign w:val="center"/>
          </w:tcPr>
          <w:p>
            <w:pPr>
              <w:spacing w:line="276" w:lineRule="auto"/>
              <w:jc w:val="center"/>
              <w:rPr>
                <w:rFonts w:ascii="宋体" w:hAnsi="宋体" w:eastAsia="宋体" w:cs="宋体"/>
                <w:kern w:val="0"/>
                <w:sz w:val="24"/>
                <w:szCs w:val="24"/>
                <w:highlight w:val="none"/>
              </w:rPr>
            </w:pPr>
          </w:p>
        </w:tc>
        <w:tc>
          <w:tcPr>
            <w:tcW w:w="2127" w:type="dxa"/>
            <w:vMerge w:val="continue"/>
            <w:vAlign w:val="center"/>
          </w:tcPr>
          <w:p>
            <w:pPr>
              <w:spacing w:line="276" w:lineRule="auto"/>
              <w:rPr>
                <w:rFonts w:ascii="宋体" w:hAnsi="宋体" w:eastAsia="宋体" w:cs="宋体"/>
                <w:sz w:val="24"/>
                <w:szCs w:val="24"/>
                <w:highlight w:val="none"/>
                <w:lang w:val="zh-CN"/>
              </w:rPr>
            </w:pPr>
          </w:p>
        </w:tc>
        <w:tc>
          <w:tcPr>
            <w:tcW w:w="2409" w:type="dxa"/>
            <w:vAlign w:val="center"/>
          </w:tcPr>
          <w:p>
            <w:pPr>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参竞有效期</w:t>
            </w:r>
          </w:p>
        </w:tc>
        <w:tc>
          <w:tcPr>
            <w:tcW w:w="5670" w:type="dxa"/>
            <w:vAlign w:val="center"/>
          </w:tcPr>
          <w:p>
            <w:pPr>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满足食堂联合经营项目文件</w:t>
            </w:r>
            <w:r>
              <w:rPr>
                <w:rFonts w:hint="eastAsia" w:ascii="宋体" w:hAnsi="宋体" w:eastAsia="宋体" w:cs="宋体"/>
                <w:sz w:val="24"/>
                <w:szCs w:val="24"/>
                <w:highlight w:val="none"/>
                <w:lang w:val="zh-CN"/>
              </w:rPr>
              <w:t>规定。</w:t>
            </w:r>
          </w:p>
        </w:tc>
      </w:tr>
    </w:tbl>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澄清有关问题。对参竞文件中含义不明确、同类问题表述不一致或者有明显文字和计算错误的内容，评审委员会可以要求参竞人做出必要澄清、说明或者纠正。参竞人的澄清、说明或者补正应当采用书面形式，由其授权的代表签字，并不得超出参竞文件的范围或者改变参竞文件的实质性内容。</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4.比较与评价。按食堂联合经营项目文件中规定的评审方法和标准，对资格性检查和符合性检查合格的参竞文件进行商务和技术评估，综合比较与评价。</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评审委员会各评委应当独立对每个有效参竞文件进行评价、打分；然后汇总，求算术平均值确定为有效参竞人的最终得分。</w:t>
      </w:r>
    </w:p>
    <w:p>
      <w:pPr>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w:t>
      </w:r>
      <w:r>
        <w:rPr>
          <w:rFonts w:ascii="宋体" w:hAnsi="宋体" w:eastAsia="宋体" w:cs="宋体"/>
          <w:sz w:val="24"/>
          <w:szCs w:val="24"/>
          <w:highlight w:val="none"/>
        </w:rPr>
        <w:t>.</w:t>
      </w:r>
      <w:r>
        <w:rPr>
          <w:rFonts w:hint="eastAsia" w:ascii="宋体" w:hAnsi="宋体" w:eastAsia="宋体" w:cs="宋体"/>
          <w:sz w:val="24"/>
          <w:szCs w:val="24"/>
          <w:highlight w:val="none"/>
        </w:rPr>
        <w:t>推荐拟成交候选人名单。按综合评分由高到低推荐三个拟成交候选人。得分相同的，按经济部分报价得分由高到低顺序排列；得分且经济部分报价得分相同的，按服务部分得分由高到低顺序排列。</w:t>
      </w:r>
    </w:p>
    <w:p>
      <w:pPr>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6</w:t>
      </w:r>
      <w:r>
        <w:rPr>
          <w:rFonts w:ascii="宋体" w:hAnsi="宋体" w:eastAsia="宋体" w:cs="宋体"/>
          <w:kern w:val="0"/>
          <w:sz w:val="24"/>
          <w:szCs w:val="24"/>
          <w:highlight w:val="none"/>
        </w:rPr>
        <w:t>.</w:t>
      </w:r>
      <w:r>
        <w:rPr>
          <w:rFonts w:hint="eastAsia" w:ascii="宋体" w:hAnsi="宋体" w:eastAsia="宋体" w:cs="宋体"/>
          <w:kern w:val="0"/>
          <w:sz w:val="24"/>
          <w:szCs w:val="24"/>
          <w:highlight w:val="none"/>
        </w:rPr>
        <w:t>成交原则。综合得分排名第一的拟成交候选人为拟成交人。排名第一的拟成交候选人未成交的，可以确定排名第二的拟成交候选人为拟成交人</w:t>
      </w:r>
      <w:r>
        <w:rPr>
          <w:rFonts w:ascii="宋体" w:hAnsi="宋体" w:eastAsia="宋体" w:cs="宋体"/>
          <w:kern w:val="0"/>
          <w:sz w:val="24"/>
          <w:szCs w:val="24"/>
          <w:highlight w:val="none"/>
        </w:rPr>
        <w:t xml:space="preserve"> ；第一、二成交人均未成交的，可以确定排名第三的拟成交候选人为拟成交人。最终拟成交人由学校校长办公会和党委常委会审定确认。</w:t>
      </w:r>
    </w:p>
    <w:p>
      <w:pPr>
        <w:spacing w:line="276" w:lineRule="auto"/>
        <w:rPr>
          <w:rFonts w:ascii="宋体" w:hAnsi="宋体" w:eastAsia="宋体"/>
          <w:sz w:val="24"/>
          <w:szCs w:val="24"/>
          <w:highlight w:val="none"/>
        </w:rPr>
      </w:pPr>
    </w:p>
    <w:p>
      <w:pPr>
        <w:pStyle w:val="3"/>
        <w:numPr>
          <w:ilvl w:val="0"/>
          <w:numId w:val="21"/>
        </w:numPr>
        <w:tabs>
          <w:tab w:val="clear" w:pos="3360"/>
        </w:tabs>
        <w:spacing w:before="312" w:after="156" w:line="276" w:lineRule="auto"/>
        <w:jc w:val="left"/>
        <w:rPr>
          <w:rFonts w:cs="宋体"/>
          <w:b/>
          <w:bCs/>
          <w:sz w:val="24"/>
          <w:szCs w:val="24"/>
          <w:highlight w:val="none"/>
        </w:rPr>
      </w:pPr>
      <w:bookmarkStart w:id="24" w:name="_Toc10387"/>
      <w:bookmarkStart w:id="25" w:name="_Toc8045"/>
      <w:bookmarkStart w:id="26" w:name="_Toc422380984"/>
      <w:r>
        <w:rPr>
          <w:rFonts w:hint="eastAsia" w:cs="宋体"/>
          <w:b/>
          <w:bCs/>
          <w:sz w:val="24"/>
          <w:szCs w:val="24"/>
          <w:highlight w:val="none"/>
        </w:rPr>
        <w:t>评审标准</w:t>
      </w:r>
      <w:bookmarkEnd w:id="24"/>
      <w:bookmarkEnd w:id="25"/>
      <w:bookmarkEnd w:id="26"/>
    </w:p>
    <w:tbl>
      <w:tblPr>
        <w:tblStyle w:val="33"/>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061"/>
        <w:gridCol w:w="1090"/>
        <w:gridCol w:w="4327"/>
        <w:gridCol w:w="2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64" w:type="dxa"/>
            <w:vAlign w:val="center"/>
          </w:tcPr>
          <w:p>
            <w:pPr>
              <w:spacing w:line="276" w:lineRule="auto"/>
              <w:jc w:val="center"/>
              <w:rPr>
                <w:rFonts w:ascii="宋体" w:hAnsi="宋体" w:cs="宋体"/>
                <w:b/>
                <w:bCs/>
                <w:szCs w:val="21"/>
                <w:highlight w:val="none"/>
              </w:rPr>
            </w:pPr>
            <w:bookmarkStart w:id="27" w:name="OLE_LINK118"/>
            <w:bookmarkStart w:id="28" w:name="OLE_LINK119"/>
            <w:r>
              <w:rPr>
                <w:rFonts w:hint="eastAsia" w:ascii="宋体" w:hAnsi="宋体" w:cs="宋体"/>
                <w:b/>
                <w:bCs/>
                <w:szCs w:val="21"/>
                <w:highlight w:val="none"/>
              </w:rPr>
              <w:t>序号</w:t>
            </w:r>
          </w:p>
        </w:tc>
        <w:tc>
          <w:tcPr>
            <w:tcW w:w="1061" w:type="dxa"/>
            <w:vAlign w:val="center"/>
          </w:tcPr>
          <w:p>
            <w:pPr>
              <w:spacing w:line="276" w:lineRule="auto"/>
              <w:jc w:val="center"/>
              <w:rPr>
                <w:rFonts w:ascii="宋体" w:hAnsi="宋体" w:cs="宋体"/>
                <w:b/>
                <w:bCs/>
                <w:szCs w:val="21"/>
                <w:highlight w:val="none"/>
              </w:rPr>
            </w:pPr>
            <w:r>
              <w:rPr>
                <w:rFonts w:hint="eastAsia" w:ascii="宋体" w:hAnsi="宋体" w:cs="宋体"/>
                <w:b/>
                <w:bCs/>
                <w:szCs w:val="21"/>
                <w:highlight w:val="none"/>
              </w:rPr>
              <w:t>评分因素及权值</w:t>
            </w:r>
          </w:p>
        </w:tc>
        <w:tc>
          <w:tcPr>
            <w:tcW w:w="1090" w:type="dxa"/>
            <w:vAlign w:val="center"/>
          </w:tcPr>
          <w:p>
            <w:pPr>
              <w:spacing w:line="276" w:lineRule="auto"/>
              <w:jc w:val="center"/>
              <w:rPr>
                <w:rFonts w:ascii="宋体" w:hAnsi="宋体" w:cs="宋体"/>
                <w:b/>
                <w:bCs/>
                <w:szCs w:val="21"/>
                <w:highlight w:val="none"/>
              </w:rPr>
            </w:pPr>
            <w:r>
              <w:rPr>
                <w:rFonts w:hint="eastAsia" w:ascii="宋体" w:hAnsi="宋体" w:cs="宋体"/>
                <w:b/>
                <w:bCs/>
                <w:szCs w:val="21"/>
                <w:highlight w:val="none"/>
              </w:rPr>
              <w:t>分值</w:t>
            </w:r>
          </w:p>
        </w:tc>
        <w:tc>
          <w:tcPr>
            <w:tcW w:w="4327" w:type="dxa"/>
            <w:vAlign w:val="center"/>
          </w:tcPr>
          <w:p>
            <w:pPr>
              <w:spacing w:line="276" w:lineRule="auto"/>
              <w:jc w:val="center"/>
              <w:rPr>
                <w:rFonts w:ascii="宋体" w:hAnsi="宋体" w:cs="宋体"/>
                <w:b/>
                <w:bCs/>
                <w:szCs w:val="21"/>
                <w:highlight w:val="none"/>
              </w:rPr>
            </w:pPr>
            <w:r>
              <w:rPr>
                <w:rFonts w:hint="eastAsia" w:ascii="宋体" w:hAnsi="宋体" w:cs="宋体"/>
                <w:b/>
                <w:bCs/>
                <w:szCs w:val="21"/>
                <w:highlight w:val="none"/>
              </w:rPr>
              <w:t>评分标准</w:t>
            </w:r>
          </w:p>
        </w:tc>
        <w:tc>
          <w:tcPr>
            <w:tcW w:w="2436" w:type="dxa"/>
            <w:vAlign w:val="center"/>
          </w:tcPr>
          <w:p>
            <w:pPr>
              <w:spacing w:line="276" w:lineRule="auto"/>
              <w:jc w:val="center"/>
              <w:rPr>
                <w:rFonts w:ascii="宋体" w:hAnsi="宋体" w:cs="宋体"/>
                <w:b/>
                <w:bCs/>
                <w:szCs w:val="21"/>
                <w:highlight w:val="none"/>
              </w:rPr>
            </w:pPr>
            <w:r>
              <w:rPr>
                <w:rFonts w:hint="eastAsia" w:ascii="宋体" w:hAnsi="宋体" w:cs="宋体"/>
                <w:b/>
                <w:bCs/>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564" w:type="dxa"/>
            <w:vMerge w:val="restart"/>
            <w:vAlign w:val="center"/>
          </w:tcPr>
          <w:p>
            <w:pPr>
              <w:spacing w:line="276" w:lineRule="auto"/>
              <w:jc w:val="center"/>
              <w:rPr>
                <w:rFonts w:ascii="宋体" w:hAnsi="宋体" w:cs="宋体"/>
                <w:szCs w:val="21"/>
                <w:highlight w:val="none"/>
              </w:rPr>
            </w:pPr>
            <w:r>
              <w:rPr>
                <w:rFonts w:hint="eastAsia" w:ascii="宋体" w:hAnsi="宋体" w:cs="宋体"/>
                <w:szCs w:val="21"/>
                <w:highlight w:val="none"/>
              </w:rPr>
              <w:t>1</w:t>
            </w:r>
          </w:p>
        </w:tc>
        <w:tc>
          <w:tcPr>
            <w:tcW w:w="1061" w:type="dxa"/>
            <w:vMerge w:val="restart"/>
            <w:vAlign w:val="center"/>
          </w:tcPr>
          <w:p>
            <w:pPr>
              <w:spacing w:line="276" w:lineRule="auto"/>
              <w:jc w:val="center"/>
              <w:rPr>
                <w:rFonts w:ascii="宋体" w:hAnsi="宋体" w:cs="宋体"/>
                <w:szCs w:val="21"/>
                <w:highlight w:val="none"/>
              </w:rPr>
            </w:pPr>
            <w:r>
              <w:rPr>
                <w:rFonts w:hint="eastAsia" w:ascii="宋体" w:hAnsi="宋体" w:cs="宋体"/>
                <w:szCs w:val="21"/>
                <w:highlight w:val="none"/>
              </w:rPr>
              <w:t>报价部分</w:t>
            </w:r>
          </w:p>
          <w:p>
            <w:pPr>
              <w:spacing w:line="276" w:lineRule="auto"/>
              <w:jc w:val="center"/>
              <w:rPr>
                <w:rFonts w:ascii="宋体" w:hAnsi="宋体" w:cs="宋体"/>
                <w:szCs w:val="21"/>
                <w:highlight w:val="none"/>
              </w:rPr>
            </w:pPr>
            <w:r>
              <w:rPr>
                <w:rFonts w:hint="eastAsia" w:ascii="宋体" w:hAnsi="宋体" w:cs="宋体"/>
                <w:szCs w:val="21"/>
                <w:highlight w:val="none"/>
              </w:rPr>
              <w:t>（18%）</w:t>
            </w:r>
          </w:p>
        </w:tc>
        <w:tc>
          <w:tcPr>
            <w:tcW w:w="1090" w:type="dxa"/>
            <w:vAlign w:val="center"/>
          </w:tcPr>
          <w:p>
            <w:pPr>
              <w:spacing w:line="276" w:lineRule="auto"/>
              <w:jc w:val="center"/>
              <w:rPr>
                <w:rFonts w:ascii="宋体" w:hAnsi="宋体" w:cs="宋体"/>
                <w:szCs w:val="21"/>
                <w:highlight w:val="none"/>
              </w:rPr>
            </w:pPr>
            <w:bookmarkStart w:id="29" w:name="OLE_LINK61"/>
            <w:r>
              <w:rPr>
                <w:rFonts w:hint="eastAsia" w:ascii="宋体" w:hAnsi="宋体" w:cs="宋体"/>
                <w:szCs w:val="21"/>
                <w:highlight w:val="none"/>
              </w:rPr>
              <w:t>基本大伙餐价格折扣率（12分）</w:t>
            </w:r>
            <w:bookmarkEnd w:id="29"/>
          </w:p>
        </w:tc>
        <w:tc>
          <w:tcPr>
            <w:tcW w:w="4327" w:type="dxa"/>
            <w:vAlign w:val="center"/>
          </w:tcPr>
          <w:p>
            <w:pPr>
              <w:spacing w:line="276" w:lineRule="auto"/>
              <w:rPr>
                <w:rFonts w:ascii="宋体" w:hAnsi="宋体" w:cs="宋体"/>
                <w:szCs w:val="21"/>
                <w:highlight w:val="none"/>
              </w:rPr>
            </w:pPr>
            <w:bookmarkStart w:id="30" w:name="OLE_LINK65"/>
            <w:bookmarkStart w:id="31" w:name="OLE_LINK71"/>
            <w:r>
              <w:rPr>
                <w:rFonts w:hint="eastAsia" w:ascii="宋体" w:hAnsi="宋体" w:cs="宋体"/>
                <w:szCs w:val="21"/>
                <w:highlight w:val="none"/>
              </w:rPr>
              <w:t>得分=（最低基本大伙餐价格折扣率/所投基本大伙餐价格折扣率）*权重</w:t>
            </w:r>
          </w:p>
          <w:p>
            <w:pPr>
              <w:spacing w:line="276" w:lineRule="auto"/>
              <w:rPr>
                <w:rFonts w:ascii="宋体" w:hAnsi="宋体" w:cs="宋体"/>
                <w:szCs w:val="21"/>
                <w:highlight w:val="none"/>
              </w:rPr>
            </w:pPr>
            <w:r>
              <w:rPr>
                <w:rFonts w:hint="eastAsia" w:ascii="宋体" w:hAnsi="宋体" w:cs="宋体"/>
                <w:szCs w:val="21"/>
                <w:highlight w:val="none"/>
              </w:rPr>
              <w:t>备注：所有有效参竞人中，基本大伙餐价格折扣率中最低者为满分，即基准分。</w:t>
            </w:r>
            <w:bookmarkEnd w:id="30"/>
            <w:bookmarkEnd w:id="31"/>
          </w:p>
        </w:tc>
        <w:tc>
          <w:tcPr>
            <w:tcW w:w="2436" w:type="dxa"/>
            <w:vAlign w:val="center"/>
          </w:tcPr>
          <w:p>
            <w:pPr>
              <w:spacing w:line="276" w:lineRule="auto"/>
              <w:ind w:firstLine="420" w:firstLineChars="200"/>
              <w:rPr>
                <w:rFonts w:ascii="宋体" w:hAnsi="宋体" w:cs="宋体"/>
                <w:szCs w:val="21"/>
                <w:highlight w:val="none"/>
              </w:rPr>
            </w:pPr>
            <w:r>
              <w:rPr>
                <w:rFonts w:hint="eastAsia" w:ascii="宋体" w:hAnsi="宋体" w:cs="宋体"/>
                <w:szCs w:val="21"/>
                <w:highlight w:val="none"/>
              </w:rPr>
              <w:t>基本大伙餐价格折扣率以百分比形式体现，且不得高于</w:t>
            </w:r>
            <w:r>
              <w:rPr>
                <w:rFonts w:ascii="宋体" w:hAnsi="宋体" w:cs="宋体"/>
                <w:szCs w:val="21"/>
                <w:highlight w:val="none"/>
              </w:rPr>
              <w:t>100%。举例说明，如参竞人报价基本大伙餐价格折扣率为75%（即基本大伙餐价格折扣率为“7.5折”），则基本大伙餐实际售卖价格=基本大伙餐基准价格*基本大伙餐价格折扣率75%。</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提供承诺函</w:t>
            </w:r>
            <w:r>
              <w:rPr>
                <w:rFonts w:ascii="宋体" w:hAnsi="宋体" w:cs="宋体"/>
                <w:szCs w:val="21"/>
                <w:highlight w:val="none"/>
              </w:rPr>
              <w:t>,加盖</w:t>
            </w:r>
            <w:r>
              <w:rPr>
                <w:rFonts w:hint="eastAsia" w:ascii="宋体" w:hAnsi="宋体" w:cs="宋体"/>
                <w:szCs w:val="21"/>
                <w:highlight w:val="none"/>
              </w:rPr>
              <w:t>参竞</w:t>
            </w:r>
            <w:r>
              <w:rPr>
                <w:rFonts w:ascii="宋体" w:hAnsi="宋体" w:cs="宋体"/>
                <w:szCs w:val="21"/>
                <w:highlight w:val="none"/>
              </w:rPr>
              <w:t>人公章</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564" w:type="dxa"/>
            <w:vMerge w:val="continue"/>
            <w:vAlign w:val="center"/>
          </w:tcPr>
          <w:p>
            <w:pPr>
              <w:spacing w:line="276" w:lineRule="auto"/>
              <w:jc w:val="center"/>
              <w:rPr>
                <w:rFonts w:ascii="宋体" w:hAnsi="宋体" w:cs="宋体"/>
                <w:szCs w:val="21"/>
                <w:highlight w:val="none"/>
              </w:rPr>
            </w:pPr>
          </w:p>
        </w:tc>
        <w:tc>
          <w:tcPr>
            <w:tcW w:w="1061" w:type="dxa"/>
            <w:vMerge w:val="continue"/>
            <w:vAlign w:val="center"/>
          </w:tcPr>
          <w:p>
            <w:pPr>
              <w:spacing w:line="276" w:lineRule="auto"/>
              <w:jc w:val="center"/>
              <w:rPr>
                <w:rFonts w:ascii="宋体" w:hAnsi="宋体" w:cs="宋体"/>
                <w:szCs w:val="21"/>
                <w:highlight w:val="none"/>
              </w:rPr>
            </w:pPr>
          </w:p>
        </w:tc>
        <w:tc>
          <w:tcPr>
            <w:tcW w:w="1090" w:type="dxa"/>
            <w:shd w:val="clear" w:color="auto" w:fill="auto"/>
            <w:vAlign w:val="center"/>
          </w:tcPr>
          <w:p>
            <w:pPr>
              <w:spacing w:line="276" w:lineRule="auto"/>
              <w:jc w:val="center"/>
              <w:rPr>
                <w:rFonts w:ascii="宋体" w:hAnsi="宋体" w:cs="宋体"/>
                <w:szCs w:val="21"/>
                <w:highlight w:val="none"/>
              </w:rPr>
            </w:pPr>
            <w:r>
              <w:rPr>
                <w:rFonts w:hint="eastAsia" w:ascii="宋体" w:hAnsi="宋体" w:cs="宋体"/>
                <w:szCs w:val="21"/>
                <w:highlight w:val="none"/>
              </w:rPr>
              <w:t>大伙档口投料率</w:t>
            </w:r>
          </w:p>
          <w:p>
            <w:pPr>
              <w:spacing w:line="276" w:lineRule="auto"/>
              <w:jc w:val="center"/>
              <w:rPr>
                <w:rFonts w:ascii="宋体" w:hAnsi="宋体" w:cs="宋体"/>
                <w:kern w:val="0"/>
                <w:szCs w:val="21"/>
                <w:highlight w:val="none"/>
              </w:rPr>
            </w:pPr>
            <w:r>
              <w:rPr>
                <w:rFonts w:hint="eastAsia" w:ascii="宋体" w:hAnsi="宋体" w:cs="宋体"/>
                <w:szCs w:val="21"/>
                <w:highlight w:val="none"/>
              </w:rPr>
              <w:t>（6分）</w:t>
            </w:r>
          </w:p>
        </w:tc>
        <w:tc>
          <w:tcPr>
            <w:tcW w:w="4327" w:type="dxa"/>
            <w:shd w:val="clear" w:color="auto" w:fill="auto"/>
            <w:vAlign w:val="center"/>
          </w:tcPr>
          <w:p>
            <w:pPr>
              <w:spacing w:line="276" w:lineRule="auto"/>
              <w:rPr>
                <w:rFonts w:ascii="宋体" w:hAnsi="宋体" w:cs="宋体"/>
                <w:szCs w:val="21"/>
                <w:highlight w:val="none"/>
              </w:rPr>
            </w:pPr>
            <w:r>
              <w:rPr>
                <w:rFonts w:hint="eastAsia" w:ascii="宋体" w:hAnsi="宋体" w:cs="宋体"/>
                <w:kern w:val="0"/>
                <w:szCs w:val="21"/>
                <w:highlight w:val="none"/>
              </w:rPr>
              <w:t>1.</w:t>
            </w:r>
            <w:r>
              <w:rPr>
                <w:rFonts w:hint="eastAsia" w:ascii="宋体" w:hAnsi="宋体" w:cs="宋体"/>
                <w:szCs w:val="21"/>
                <w:highlight w:val="none"/>
              </w:rPr>
              <w:t xml:space="preserve"> 大伙档口投料率达到</w:t>
            </w:r>
            <w:r>
              <w:rPr>
                <w:rFonts w:ascii="宋体" w:hAnsi="宋体" w:cs="宋体"/>
                <w:kern w:val="0"/>
                <w:szCs w:val="21"/>
                <w:highlight w:val="none"/>
              </w:rPr>
              <w:t>63</w:t>
            </w:r>
            <w:r>
              <w:rPr>
                <w:rFonts w:hint="eastAsia" w:ascii="宋体" w:hAnsi="宋体" w:cs="宋体"/>
                <w:kern w:val="0"/>
                <w:szCs w:val="21"/>
                <w:highlight w:val="none"/>
              </w:rPr>
              <w:t>%（不含）-</w:t>
            </w:r>
            <w:r>
              <w:rPr>
                <w:rFonts w:ascii="宋体" w:hAnsi="宋体" w:cs="宋体"/>
                <w:kern w:val="0"/>
                <w:szCs w:val="21"/>
                <w:highlight w:val="none"/>
              </w:rPr>
              <w:t>6</w:t>
            </w:r>
            <w:r>
              <w:rPr>
                <w:rFonts w:hint="eastAsia" w:ascii="宋体" w:hAnsi="宋体" w:cs="宋体"/>
                <w:kern w:val="0"/>
                <w:szCs w:val="21"/>
                <w:highlight w:val="none"/>
              </w:rPr>
              <w:t>5%（含），得6分；</w:t>
            </w:r>
          </w:p>
          <w:p>
            <w:pPr>
              <w:widowControl/>
              <w:spacing w:line="276" w:lineRule="auto"/>
              <w:outlineLvl w:val="2"/>
              <w:rPr>
                <w:rFonts w:ascii="宋体" w:hAnsi="宋体" w:cs="宋体"/>
                <w:kern w:val="0"/>
                <w:szCs w:val="21"/>
                <w:highlight w:val="none"/>
              </w:rPr>
            </w:pPr>
            <w:r>
              <w:rPr>
                <w:rFonts w:hint="eastAsia" w:ascii="宋体" w:hAnsi="宋体" w:cs="宋体"/>
                <w:kern w:val="0"/>
                <w:szCs w:val="21"/>
                <w:highlight w:val="none"/>
              </w:rPr>
              <w:t>2.</w:t>
            </w:r>
            <w:r>
              <w:rPr>
                <w:rFonts w:hint="eastAsia" w:ascii="宋体" w:hAnsi="宋体" w:cs="宋体"/>
                <w:szCs w:val="21"/>
                <w:highlight w:val="none"/>
              </w:rPr>
              <w:t xml:space="preserve"> 大伙档口投料率达到</w:t>
            </w:r>
            <w:r>
              <w:rPr>
                <w:rFonts w:ascii="宋体" w:hAnsi="宋体" w:cs="宋体"/>
                <w:kern w:val="0"/>
                <w:szCs w:val="21"/>
                <w:highlight w:val="none"/>
              </w:rPr>
              <w:t>60</w:t>
            </w:r>
            <w:r>
              <w:rPr>
                <w:rFonts w:hint="eastAsia" w:ascii="宋体" w:hAnsi="宋体" w:cs="宋体"/>
                <w:kern w:val="0"/>
                <w:szCs w:val="21"/>
                <w:highlight w:val="none"/>
              </w:rPr>
              <w:t>%（不含）-</w:t>
            </w:r>
            <w:r>
              <w:rPr>
                <w:rFonts w:ascii="宋体" w:hAnsi="宋体" w:cs="宋体"/>
                <w:kern w:val="0"/>
                <w:szCs w:val="21"/>
                <w:highlight w:val="none"/>
              </w:rPr>
              <w:t>63</w:t>
            </w:r>
            <w:r>
              <w:rPr>
                <w:rFonts w:hint="eastAsia" w:ascii="宋体" w:hAnsi="宋体" w:cs="宋体"/>
                <w:kern w:val="0"/>
                <w:szCs w:val="21"/>
                <w:highlight w:val="none"/>
              </w:rPr>
              <w:t>%（含），得5分；</w:t>
            </w:r>
          </w:p>
          <w:p>
            <w:pPr>
              <w:widowControl/>
              <w:spacing w:line="276" w:lineRule="auto"/>
              <w:outlineLvl w:val="2"/>
              <w:rPr>
                <w:rFonts w:ascii="宋体" w:hAnsi="宋体" w:cs="宋体"/>
                <w:kern w:val="0"/>
                <w:szCs w:val="21"/>
                <w:highlight w:val="none"/>
              </w:rPr>
            </w:pPr>
            <w:r>
              <w:rPr>
                <w:rFonts w:hint="eastAsia" w:ascii="宋体" w:hAnsi="宋体" w:cs="宋体"/>
                <w:kern w:val="0"/>
                <w:szCs w:val="21"/>
                <w:highlight w:val="none"/>
              </w:rPr>
              <w:t>3.</w:t>
            </w:r>
            <w:r>
              <w:rPr>
                <w:rFonts w:hint="eastAsia" w:ascii="宋体" w:hAnsi="宋体" w:cs="宋体"/>
                <w:szCs w:val="21"/>
                <w:highlight w:val="none"/>
              </w:rPr>
              <w:t xml:space="preserve"> 大伙档口投料率达到</w:t>
            </w:r>
            <w:r>
              <w:rPr>
                <w:rFonts w:ascii="宋体" w:hAnsi="宋体" w:cs="宋体"/>
                <w:kern w:val="0"/>
                <w:szCs w:val="21"/>
                <w:highlight w:val="none"/>
              </w:rPr>
              <w:t>60</w:t>
            </w:r>
            <w:r>
              <w:rPr>
                <w:rFonts w:hint="eastAsia" w:ascii="宋体" w:hAnsi="宋体" w:cs="宋体"/>
                <w:kern w:val="0"/>
                <w:szCs w:val="21"/>
                <w:highlight w:val="none"/>
              </w:rPr>
              <w:t>%（不含）-</w:t>
            </w:r>
            <w:r>
              <w:rPr>
                <w:rFonts w:ascii="宋体" w:hAnsi="宋体" w:cs="宋体"/>
                <w:kern w:val="0"/>
                <w:szCs w:val="21"/>
                <w:highlight w:val="none"/>
              </w:rPr>
              <w:t>58</w:t>
            </w:r>
            <w:r>
              <w:rPr>
                <w:rFonts w:hint="eastAsia" w:ascii="宋体" w:hAnsi="宋体" w:cs="宋体"/>
                <w:kern w:val="0"/>
                <w:szCs w:val="21"/>
                <w:highlight w:val="none"/>
              </w:rPr>
              <w:t>%（含），得4分；</w:t>
            </w:r>
          </w:p>
          <w:p>
            <w:pPr>
              <w:widowControl/>
              <w:spacing w:line="276" w:lineRule="auto"/>
              <w:outlineLvl w:val="2"/>
              <w:rPr>
                <w:rFonts w:ascii="宋体" w:hAnsi="宋体" w:cs="宋体"/>
                <w:kern w:val="0"/>
                <w:szCs w:val="21"/>
                <w:highlight w:val="none"/>
              </w:rPr>
            </w:pPr>
            <w:r>
              <w:rPr>
                <w:rFonts w:hint="eastAsia" w:ascii="宋体" w:hAnsi="宋体" w:cs="宋体"/>
                <w:kern w:val="0"/>
                <w:szCs w:val="21"/>
                <w:highlight w:val="none"/>
              </w:rPr>
              <w:t>4.</w:t>
            </w:r>
            <w:r>
              <w:rPr>
                <w:rFonts w:hint="eastAsia" w:ascii="宋体" w:hAnsi="宋体" w:cs="宋体"/>
                <w:szCs w:val="21"/>
                <w:highlight w:val="none"/>
              </w:rPr>
              <w:t xml:space="preserve"> 大伙档口投料率达到</w:t>
            </w:r>
            <w:r>
              <w:rPr>
                <w:rFonts w:ascii="宋体" w:hAnsi="宋体" w:cs="宋体"/>
                <w:kern w:val="0"/>
                <w:szCs w:val="21"/>
                <w:highlight w:val="none"/>
              </w:rPr>
              <w:t>58</w:t>
            </w:r>
            <w:r>
              <w:rPr>
                <w:rFonts w:hint="eastAsia" w:ascii="宋体" w:hAnsi="宋体" w:cs="宋体"/>
                <w:kern w:val="0"/>
                <w:szCs w:val="21"/>
                <w:highlight w:val="none"/>
              </w:rPr>
              <w:t>%（不含）-</w:t>
            </w:r>
            <w:r>
              <w:rPr>
                <w:rFonts w:ascii="宋体" w:hAnsi="宋体" w:cs="宋体"/>
                <w:kern w:val="0"/>
                <w:szCs w:val="21"/>
                <w:highlight w:val="none"/>
              </w:rPr>
              <w:t>55</w:t>
            </w:r>
            <w:r>
              <w:rPr>
                <w:rFonts w:hint="eastAsia" w:ascii="宋体" w:hAnsi="宋体" w:cs="宋体"/>
                <w:kern w:val="0"/>
                <w:szCs w:val="21"/>
                <w:highlight w:val="none"/>
              </w:rPr>
              <w:t>%（含），得3分；</w:t>
            </w:r>
          </w:p>
          <w:p>
            <w:pPr>
              <w:widowControl/>
              <w:spacing w:line="276" w:lineRule="auto"/>
              <w:outlineLvl w:val="2"/>
              <w:rPr>
                <w:rFonts w:ascii="宋体" w:hAnsi="宋体" w:cs="宋体"/>
                <w:kern w:val="0"/>
                <w:szCs w:val="21"/>
                <w:highlight w:val="none"/>
              </w:rPr>
            </w:pPr>
            <w:r>
              <w:rPr>
                <w:rFonts w:hint="eastAsia" w:ascii="宋体" w:hAnsi="宋体" w:cs="宋体"/>
                <w:kern w:val="0"/>
                <w:szCs w:val="21"/>
                <w:highlight w:val="none"/>
              </w:rPr>
              <w:t>5.</w:t>
            </w:r>
            <w:r>
              <w:rPr>
                <w:rFonts w:hint="eastAsia" w:ascii="宋体" w:hAnsi="宋体" w:cs="宋体"/>
                <w:szCs w:val="21"/>
                <w:highlight w:val="none"/>
              </w:rPr>
              <w:t xml:space="preserve"> 大伙档口投料率达到</w:t>
            </w:r>
            <w:r>
              <w:rPr>
                <w:rFonts w:ascii="宋体" w:hAnsi="宋体" w:cs="宋体"/>
                <w:kern w:val="0"/>
                <w:szCs w:val="21"/>
                <w:highlight w:val="none"/>
              </w:rPr>
              <w:t>55</w:t>
            </w:r>
            <w:r>
              <w:rPr>
                <w:rFonts w:hint="eastAsia" w:ascii="宋体" w:hAnsi="宋体" w:cs="宋体"/>
                <w:kern w:val="0"/>
                <w:szCs w:val="21"/>
                <w:highlight w:val="none"/>
              </w:rPr>
              <w:t>%（不含）-</w:t>
            </w:r>
            <w:r>
              <w:rPr>
                <w:rFonts w:ascii="宋体" w:hAnsi="宋体" w:cs="宋体"/>
                <w:kern w:val="0"/>
                <w:szCs w:val="21"/>
                <w:highlight w:val="none"/>
              </w:rPr>
              <w:t>50</w:t>
            </w:r>
            <w:r>
              <w:rPr>
                <w:rFonts w:hint="eastAsia" w:ascii="宋体" w:hAnsi="宋体" w:cs="宋体"/>
                <w:kern w:val="0"/>
                <w:szCs w:val="21"/>
                <w:highlight w:val="none"/>
              </w:rPr>
              <w:t>%（含），得1分。</w:t>
            </w:r>
          </w:p>
        </w:tc>
        <w:tc>
          <w:tcPr>
            <w:tcW w:w="2436" w:type="dxa"/>
            <w:vAlign w:val="center"/>
          </w:tcPr>
          <w:p>
            <w:pPr>
              <w:spacing w:line="276" w:lineRule="auto"/>
              <w:rPr>
                <w:rFonts w:ascii="宋体" w:hAnsi="宋体" w:cs="宋体"/>
                <w:strike/>
                <w:szCs w:val="21"/>
                <w:highlight w:val="none"/>
              </w:rPr>
            </w:pPr>
            <w:r>
              <w:rPr>
                <w:rFonts w:ascii="宋体" w:hAnsi="宋体" w:cs="宋体"/>
                <w:szCs w:val="21"/>
                <w:highlight w:val="none"/>
              </w:rPr>
              <w:t>提供承诺函</w:t>
            </w:r>
            <w:r>
              <w:rPr>
                <w:rFonts w:hint="eastAsia" w:ascii="宋体" w:hAnsi="宋体" w:cs="宋体"/>
                <w:szCs w:val="21"/>
                <w:highlight w:val="none"/>
              </w:rPr>
              <w:t>，</w:t>
            </w:r>
            <w:r>
              <w:rPr>
                <w:rFonts w:ascii="宋体" w:hAnsi="宋体" w:cs="宋体"/>
                <w:szCs w:val="21"/>
                <w:highlight w:val="none"/>
              </w:rPr>
              <w:t>加盖</w:t>
            </w:r>
            <w:r>
              <w:rPr>
                <w:rFonts w:hint="eastAsia" w:ascii="宋体" w:hAnsi="宋体" w:cs="宋体"/>
                <w:szCs w:val="21"/>
                <w:highlight w:val="none"/>
              </w:rPr>
              <w:t>参竞</w:t>
            </w:r>
            <w:r>
              <w:rPr>
                <w:rFonts w:ascii="宋体" w:hAnsi="宋体" w:cs="宋体"/>
                <w:szCs w:val="21"/>
                <w:highlight w:val="none"/>
              </w:rPr>
              <w:t>人公章</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564" w:type="dxa"/>
            <w:vMerge w:val="restart"/>
            <w:vAlign w:val="center"/>
          </w:tcPr>
          <w:p>
            <w:pPr>
              <w:spacing w:line="276" w:lineRule="auto"/>
              <w:jc w:val="center"/>
              <w:rPr>
                <w:rFonts w:ascii="宋体" w:hAnsi="宋体" w:cs="宋体"/>
                <w:szCs w:val="21"/>
                <w:highlight w:val="none"/>
              </w:rPr>
            </w:pPr>
            <w:r>
              <w:rPr>
                <w:rFonts w:hint="eastAsia" w:ascii="宋体" w:hAnsi="宋体" w:cs="宋体"/>
                <w:szCs w:val="21"/>
                <w:highlight w:val="none"/>
              </w:rPr>
              <w:t>2</w:t>
            </w:r>
          </w:p>
        </w:tc>
        <w:tc>
          <w:tcPr>
            <w:tcW w:w="1061" w:type="dxa"/>
            <w:vMerge w:val="restart"/>
            <w:vAlign w:val="center"/>
          </w:tcPr>
          <w:p>
            <w:pPr>
              <w:spacing w:line="276" w:lineRule="auto"/>
              <w:jc w:val="center"/>
              <w:rPr>
                <w:rFonts w:ascii="宋体" w:hAnsi="宋体" w:cs="宋体"/>
                <w:szCs w:val="21"/>
                <w:highlight w:val="none"/>
              </w:rPr>
            </w:pPr>
            <w:r>
              <w:rPr>
                <w:rFonts w:hint="eastAsia" w:ascii="宋体" w:hAnsi="宋体" w:cs="宋体"/>
                <w:szCs w:val="21"/>
                <w:highlight w:val="none"/>
              </w:rPr>
              <w:t>服务部分（62%）</w:t>
            </w:r>
          </w:p>
        </w:tc>
        <w:tc>
          <w:tcPr>
            <w:tcW w:w="1090" w:type="dxa"/>
            <w:vAlign w:val="center"/>
          </w:tcPr>
          <w:p>
            <w:pPr>
              <w:spacing w:line="276" w:lineRule="auto"/>
              <w:jc w:val="center"/>
              <w:rPr>
                <w:rFonts w:ascii="宋体" w:hAnsi="宋体" w:cs="宋体"/>
                <w:szCs w:val="21"/>
                <w:highlight w:val="none"/>
              </w:rPr>
            </w:pPr>
            <w:r>
              <w:rPr>
                <w:rFonts w:hint="eastAsia" w:ascii="宋体" w:hAnsi="宋体" w:cs="宋体"/>
                <w:szCs w:val="21"/>
                <w:highlight w:val="none"/>
              </w:rPr>
              <w:t>菜品管理方案</w:t>
            </w:r>
          </w:p>
          <w:p>
            <w:pPr>
              <w:spacing w:line="276" w:lineRule="auto"/>
              <w:rPr>
                <w:rFonts w:ascii="宋体" w:hAnsi="宋体" w:cs="宋体"/>
                <w:szCs w:val="21"/>
                <w:highlight w:val="none"/>
              </w:rPr>
            </w:pPr>
            <w:r>
              <w:rPr>
                <w:rFonts w:hint="eastAsia" w:ascii="宋体" w:hAnsi="宋体" w:cs="宋体"/>
                <w:szCs w:val="21"/>
                <w:highlight w:val="none"/>
              </w:rPr>
              <w:t>（10分）</w:t>
            </w:r>
          </w:p>
        </w:tc>
        <w:tc>
          <w:tcPr>
            <w:tcW w:w="4327" w:type="dxa"/>
            <w:vAlign w:val="center"/>
          </w:tcPr>
          <w:p>
            <w:pPr>
              <w:ind w:firstLine="420" w:firstLineChars="200"/>
              <w:rPr>
                <w:rFonts w:ascii="宋体" w:hAnsi="宋体" w:cs="宋体"/>
                <w:szCs w:val="21"/>
                <w:highlight w:val="none"/>
              </w:rPr>
            </w:pPr>
            <w:r>
              <w:rPr>
                <w:rFonts w:hint="eastAsia" w:ascii="宋体" w:hAnsi="宋体" w:cs="宋体"/>
                <w:szCs w:val="21"/>
                <w:highlight w:val="none"/>
              </w:rPr>
              <w:t>菜品管理方案包含：1、基本大伙餐菜品管理方案（要符合第二篇项目服务及质量要求中对大伙的要求）；2、特色餐档口菜品管理方案。方案均应包括：菜式品种搭配，产品规划，价格及份量，成本分析，方案中需提供基本大伙餐价格标准（按照基本大伙餐基准价*基本大伙折扣率报价），特色风味价格标准（报价自拟），须包含品类、重量、价格清单等。</w:t>
            </w:r>
          </w:p>
          <w:p>
            <w:pPr>
              <w:spacing w:line="276" w:lineRule="auto"/>
              <w:jc w:val="left"/>
              <w:rPr>
                <w:rFonts w:ascii="宋体" w:hAnsi="宋体" w:cs="宋体"/>
                <w:szCs w:val="21"/>
                <w:highlight w:val="none"/>
              </w:rPr>
            </w:pPr>
          </w:p>
          <w:p>
            <w:pPr>
              <w:spacing w:line="276" w:lineRule="auto"/>
              <w:jc w:val="left"/>
              <w:rPr>
                <w:rFonts w:ascii="宋体" w:hAnsi="宋体" w:cs="宋体"/>
                <w:szCs w:val="21"/>
                <w:highlight w:val="none"/>
              </w:rPr>
            </w:pPr>
            <w:r>
              <w:rPr>
                <w:rFonts w:hint="eastAsia" w:ascii="宋体" w:hAnsi="宋体" w:cs="宋体"/>
                <w:szCs w:val="21"/>
                <w:highlight w:val="none"/>
              </w:rPr>
              <w:t>菜品报价要求（备案）：</w:t>
            </w:r>
          </w:p>
          <w:tbl>
            <w:tblPr>
              <w:tblStyle w:val="33"/>
              <w:tblW w:w="3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25"/>
              <w:gridCol w:w="425"/>
              <w:gridCol w:w="367"/>
              <w:gridCol w:w="426"/>
              <w:gridCol w:w="425"/>
              <w:gridCol w:w="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0" w:type="pct"/>
                  <w:shd w:val="clear" w:color="auto" w:fill="FFFFFF"/>
                  <w:noWrap/>
                  <w:vAlign w:val="center"/>
                </w:tcPr>
                <w:p>
                  <w:pPr>
                    <w:widowControl/>
                    <w:adjustRightInd w:val="0"/>
                    <w:snapToGrid w:val="0"/>
                    <w:spacing w:before="120" w:after="120" w:line="276" w:lineRule="auto"/>
                    <w:jc w:val="center"/>
                    <w:textAlignment w:val="center"/>
                    <w:rPr>
                      <w:rFonts w:ascii="宋体" w:hAnsi="宋体" w:cs="宋体"/>
                      <w:szCs w:val="21"/>
                      <w:highlight w:val="none"/>
                    </w:rPr>
                  </w:pPr>
                  <w:r>
                    <w:rPr>
                      <w:rFonts w:hint="eastAsia" w:ascii="宋体" w:hAnsi="宋体" w:cs="宋体"/>
                      <w:kern w:val="0"/>
                      <w:szCs w:val="21"/>
                      <w:highlight w:val="none"/>
                      <w:lang w:bidi="ar"/>
                    </w:rPr>
                    <w:t>档口名称</w:t>
                  </w:r>
                </w:p>
              </w:tc>
              <w:tc>
                <w:tcPr>
                  <w:tcW w:w="652" w:type="pct"/>
                  <w:shd w:val="clear" w:color="auto" w:fill="FFFFFF"/>
                  <w:noWrap/>
                  <w:vAlign w:val="center"/>
                </w:tcPr>
                <w:p>
                  <w:pPr>
                    <w:widowControl/>
                    <w:adjustRightInd w:val="0"/>
                    <w:snapToGrid w:val="0"/>
                    <w:spacing w:before="120" w:after="120" w:line="276" w:lineRule="auto"/>
                    <w:textAlignment w:val="center"/>
                    <w:rPr>
                      <w:rFonts w:ascii="宋体" w:hAnsi="宋体" w:cs="宋体"/>
                      <w:szCs w:val="21"/>
                      <w:highlight w:val="none"/>
                    </w:rPr>
                  </w:pPr>
                  <w:r>
                    <w:rPr>
                      <w:rFonts w:hint="eastAsia" w:ascii="宋体" w:hAnsi="宋体" w:cs="宋体"/>
                      <w:kern w:val="0"/>
                      <w:szCs w:val="21"/>
                      <w:highlight w:val="none"/>
                      <w:lang w:bidi="ar"/>
                    </w:rPr>
                    <w:t>品名</w:t>
                  </w:r>
                </w:p>
              </w:tc>
              <w:tc>
                <w:tcPr>
                  <w:tcW w:w="652" w:type="pct"/>
                  <w:shd w:val="clear" w:color="auto" w:fill="FFFFFF"/>
                  <w:noWrap/>
                  <w:vAlign w:val="center"/>
                </w:tcPr>
                <w:p>
                  <w:pPr>
                    <w:widowControl/>
                    <w:adjustRightInd w:val="0"/>
                    <w:snapToGrid w:val="0"/>
                    <w:spacing w:before="120" w:after="120" w:line="276" w:lineRule="auto"/>
                    <w:textAlignment w:val="center"/>
                    <w:rPr>
                      <w:rFonts w:ascii="宋体" w:hAnsi="宋体" w:cs="宋体"/>
                      <w:szCs w:val="21"/>
                      <w:highlight w:val="none"/>
                    </w:rPr>
                  </w:pPr>
                  <w:r>
                    <w:rPr>
                      <w:rFonts w:hint="eastAsia" w:ascii="宋体" w:hAnsi="宋体" w:cs="宋体"/>
                      <w:kern w:val="0"/>
                      <w:szCs w:val="21"/>
                      <w:highlight w:val="none"/>
                      <w:lang w:bidi="ar"/>
                    </w:rPr>
                    <w:t>熟重：克</w:t>
                  </w:r>
                </w:p>
              </w:tc>
              <w:tc>
                <w:tcPr>
                  <w:tcW w:w="563" w:type="pct"/>
                  <w:shd w:val="clear" w:color="auto" w:fill="FFFFFF"/>
                  <w:noWrap/>
                  <w:vAlign w:val="center"/>
                </w:tcPr>
                <w:p>
                  <w:pPr>
                    <w:widowControl/>
                    <w:adjustRightInd w:val="0"/>
                    <w:snapToGrid w:val="0"/>
                    <w:spacing w:before="120" w:after="120" w:line="276" w:lineRule="auto"/>
                    <w:textAlignment w:val="center"/>
                    <w:rPr>
                      <w:rFonts w:ascii="宋体" w:hAnsi="宋体" w:cs="宋体"/>
                      <w:szCs w:val="21"/>
                      <w:highlight w:val="none"/>
                    </w:rPr>
                  </w:pPr>
                  <w:r>
                    <w:rPr>
                      <w:rFonts w:hint="eastAsia" w:ascii="宋体" w:hAnsi="宋体" w:cs="宋体"/>
                      <w:kern w:val="0"/>
                      <w:szCs w:val="21"/>
                      <w:highlight w:val="none"/>
                      <w:lang w:bidi="ar"/>
                    </w:rPr>
                    <w:t>主料名称、熟重：克</w:t>
                  </w:r>
                </w:p>
              </w:tc>
              <w:tc>
                <w:tcPr>
                  <w:tcW w:w="654" w:type="pct"/>
                  <w:shd w:val="clear" w:color="auto" w:fill="FFFFFF"/>
                  <w:noWrap/>
                  <w:vAlign w:val="center"/>
                </w:tcPr>
                <w:p>
                  <w:pPr>
                    <w:widowControl/>
                    <w:adjustRightInd w:val="0"/>
                    <w:snapToGrid w:val="0"/>
                    <w:spacing w:before="120" w:after="120" w:line="276"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辅料名称、熟重：克</w:t>
                  </w:r>
                </w:p>
              </w:tc>
              <w:tc>
                <w:tcPr>
                  <w:tcW w:w="652" w:type="pct"/>
                  <w:shd w:val="clear" w:color="auto" w:fill="FFFFFF"/>
                  <w:noWrap/>
                  <w:vAlign w:val="center"/>
                </w:tcPr>
                <w:p>
                  <w:pPr>
                    <w:widowControl/>
                    <w:adjustRightInd w:val="0"/>
                    <w:snapToGrid w:val="0"/>
                    <w:spacing w:before="120" w:after="120" w:line="276" w:lineRule="auto"/>
                    <w:textAlignment w:val="center"/>
                    <w:rPr>
                      <w:rFonts w:ascii="宋体" w:hAnsi="宋体" w:cs="宋体"/>
                      <w:szCs w:val="21"/>
                      <w:highlight w:val="none"/>
                    </w:rPr>
                  </w:pPr>
                  <w:r>
                    <w:rPr>
                      <w:rFonts w:hint="eastAsia" w:ascii="宋体" w:hAnsi="宋体" w:cs="宋体"/>
                      <w:kern w:val="0"/>
                      <w:szCs w:val="21"/>
                      <w:highlight w:val="none"/>
                      <w:lang w:bidi="ar"/>
                    </w:rPr>
                    <w:t>售价：元</w:t>
                  </w:r>
                </w:p>
              </w:tc>
              <w:tc>
                <w:tcPr>
                  <w:tcW w:w="734" w:type="pct"/>
                  <w:shd w:val="clear" w:color="auto" w:fill="FFFFFF"/>
                  <w:noWrap/>
                  <w:vAlign w:val="center"/>
                </w:tcPr>
                <w:p>
                  <w:pPr>
                    <w:widowControl/>
                    <w:adjustRightInd w:val="0"/>
                    <w:snapToGrid w:val="0"/>
                    <w:spacing w:before="120" w:after="120" w:line="276"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0" w:type="pct"/>
                  <w:shd w:val="clear" w:color="auto" w:fill="FFFFFF"/>
                  <w:noWrap/>
                  <w:vAlign w:val="center"/>
                </w:tcPr>
                <w:p>
                  <w:pPr>
                    <w:widowControl/>
                    <w:adjustRightInd w:val="0"/>
                    <w:snapToGrid w:val="0"/>
                    <w:spacing w:before="120" w:after="120" w:line="276" w:lineRule="auto"/>
                    <w:ind w:firstLine="440"/>
                    <w:jc w:val="center"/>
                    <w:textAlignment w:val="center"/>
                    <w:rPr>
                      <w:rFonts w:ascii="宋体" w:hAnsi="宋体" w:cs="宋体"/>
                      <w:kern w:val="0"/>
                      <w:szCs w:val="21"/>
                      <w:highlight w:val="none"/>
                      <w:lang w:bidi="ar"/>
                    </w:rPr>
                  </w:pPr>
                </w:p>
              </w:tc>
              <w:tc>
                <w:tcPr>
                  <w:tcW w:w="652" w:type="pct"/>
                  <w:shd w:val="clear" w:color="auto" w:fill="FFFFFF"/>
                  <w:noWrap/>
                  <w:vAlign w:val="center"/>
                </w:tcPr>
                <w:p>
                  <w:pPr>
                    <w:widowControl/>
                    <w:adjustRightInd w:val="0"/>
                    <w:snapToGrid w:val="0"/>
                    <w:spacing w:before="120" w:after="120" w:line="276" w:lineRule="auto"/>
                    <w:ind w:firstLine="440"/>
                    <w:jc w:val="center"/>
                    <w:textAlignment w:val="center"/>
                    <w:rPr>
                      <w:rFonts w:ascii="宋体" w:hAnsi="宋体" w:cs="宋体"/>
                      <w:kern w:val="0"/>
                      <w:szCs w:val="21"/>
                      <w:highlight w:val="none"/>
                      <w:lang w:bidi="ar"/>
                    </w:rPr>
                  </w:pPr>
                </w:p>
              </w:tc>
              <w:tc>
                <w:tcPr>
                  <w:tcW w:w="652" w:type="pct"/>
                  <w:shd w:val="clear" w:color="auto" w:fill="FFFFFF"/>
                  <w:noWrap/>
                  <w:vAlign w:val="center"/>
                </w:tcPr>
                <w:p>
                  <w:pPr>
                    <w:widowControl/>
                    <w:adjustRightInd w:val="0"/>
                    <w:snapToGrid w:val="0"/>
                    <w:spacing w:before="120" w:after="120" w:line="276" w:lineRule="auto"/>
                    <w:ind w:firstLine="440"/>
                    <w:textAlignment w:val="center"/>
                    <w:rPr>
                      <w:rFonts w:ascii="宋体" w:hAnsi="宋体" w:cs="宋体"/>
                      <w:kern w:val="0"/>
                      <w:szCs w:val="21"/>
                      <w:highlight w:val="none"/>
                      <w:lang w:bidi="ar"/>
                    </w:rPr>
                  </w:pPr>
                </w:p>
              </w:tc>
              <w:tc>
                <w:tcPr>
                  <w:tcW w:w="563" w:type="pct"/>
                  <w:shd w:val="clear" w:color="auto" w:fill="FFFFFF"/>
                  <w:noWrap/>
                  <w:vAlign w:val="center"/>
                </w:tcPr>
                <w:p>
                  <w:pPr>
                    <w:widowControl/>
                    <w:adjustRightInd w:val="0"/>
                    <w:snapToGrid w:val="0"/>
                    <w:spacing w:before="120" w:after="120" w:line="276" w:lineRule="auto"/>
                    <w:ind w:firstLine="440"/>
                    <w:jc w:val="center"/>
                    <w:textAlignment w:val="center"/>
                    <w:rPr>
                      <w:rFonts w:ascii="宋体" w:hAnsi="宋体" w:cs="宋体"/>
                      <w:kern w:val="0"/>
                      <w:szCs w:val="21"/>
                      <w:highlight w:val="none"/>
                      <w:lang w:bidi="ar"/>
                    </w:rPr>
                  </w:pPr>
                </w:p>
              </w:tc>
              <w:tc>
                <w:tcPr>
                  <w:tcW w:w="654" w:type="pct"/>
                  <w:shd w:val="clear" w:color="auto" w:fill="FFFFFF"/>
                  <w:noWrap/>
                  <w:vAlign w:val="center"/>
                </w:tcPr>
                <w:p>
                  <w:pPr>
                    <w:widowControl/>
                    <w:adjustRightInd w:val="0"/>
                    <w:snapToGrid w:val="0"/>
                    <w:spacing w:before="120" w:after="120" w:line="276" w:lineRule="auto"/>
                    <w:ind w:firstLine="440"/>
                    <w:textAlignment w:val="center"/>
                    <w:rPr>
                      <w:rFonts w:ascii="宋体" w:hAnsi="宋体" w:cs="宋体"/>
                      <w:kern w:val="0"/>
                      <w:szCs w:val="21"/>
                      <w:highlight w:val="none"/>
                      <w:lang w:bidi="ar"/>
                    </w:rPr>
                  </w:pPr>
                </w:p>
              </w:tc>
              <w:tc>
                <w:tcPr>
                  <w:tcW w:w="652" w:type="pct"/>
                  <w:shd w:val="clear" w:color="auto" w:fill="FFFFFF"/>
                  <w:noWrap/>
                  <w:vAlign w:val="center"/>
                </w:tcPr>
                <w:p>
                  <w:pPr>
                    <w:widowControl/>
                    <w:adjustRightInd w:val="0"/>
                    <w:snapToGrid w:val="0"/>
                    <w:spacing w:before="120" w:after="120" w:line="276" w:lineRule="auto"/>
                    <w:ind w:firstLine="440"/>
                    <w:textAlignment w:val="center"/>
                    <w:rPr>
                      <w:rFonts w:ascii="宋体" w:hAnsi="宋体" w:cs="宋体"/>
                      <w:kern w:val="0"/>
                      <w:szCs w:val="21"/>
                      <w:highlight w:val="none"/>
                      <w:lang w:bidi="ar"/>
                    </w:rPr>
                  </w:pPr>
                </w:p>
              </w:tc>
              <w:tc>
                <w:tcPr>
                  <w:tcW w:w="734" w:type="pct"/>
                  <w:shd w:val="clear" w:color="auto" w:fill="FFFFFF"/>
                  <w:noWrap/>
                  <w:vAlign w:val="center"/>
                </w:tcPr>
                <w:p>
                  <w:pPr>
                    <w:widowControl/>
                    <w:adjustRightInd w:val="0"/>
                    <w:snapToGrid w:val="0"/>
                    <w:spacing w:before="120" w:after="120" w:line="276" w:lineRule="auto"/>
                    <w:ind w:firstLine="440"/>
                    <w:jc w:val="center"/>
                    <w:textAlignment w:val="center"/>
                    <w:rPr>
                      <w:rFonts w:ascii="宋体" w:hAnsi="宋体" w:cs="宋体"/>
                      <w:kern w:val="0"/>
                      <w:szCs w:val="21"/>
                      <w:highlight w:val="none"/>
                      <w:lang w:bidi="ar"/>
                    </w:rPr>
                  </w:pPr>
                </w:p>
              </w:tc>
            </w:tr>
          </w:tbl>
          <w:p>
            <w:pPr>
              <w:spacing w:line="276" w:lineRule="auto"/>
              <w:jc w:val="left"/>
              <w:rPr>
                <w:rFonts w:ascii="宋体" w:hAnsi="宋体" w:cs="宋体"/>
                <w:szCs w:val="21"/>
                <w:highlight w:val="none"/>
              </w:rPr>
            </w:pPr>
            <w:r>
              <w:rPr>
                <w:rFonts w:hint="eastAsia" w:ascii="宋体" w:hAnsi="宋体" w:cs="宋体"/>
                <w:szCs w:val="21"/>
                <w:highlight w:val="none"/>
              </w:rPr>
              <w:t>同时包括以下几点：</w:t>
            </w:r>
          </w:p>
          <w:p>
            <w:pPr>
              <w:spacing w:line="276" w:lineRule="auto"/>
              <w:jc w:val="left"/>
              <w:rPr>
                <w:rFonts w:ascii="宋体" w:hAnsi="宋体" w:cs="宋体"/>
                <w:szCs w:val="21"/>
                <w:highlight w:val="none"/>
              </w:rPr>
            </w:pPr>
            <w:r>
              <w:rPr>
                <w:rFonts w:hint="eastAsia" w:ascii="宋体" w:hAnsi="宋体" w:cs="宋体"/>
                <w:szCs w:val="21"/>
                <w:highlight w:val="none"/>
              </w:rPr>
              <w:t>1.档口及菜品设置规划的方案。</w:t>
            </w:r>
          </w:p>
          <w:p>
            <w:pPr>
              <w:spacing w:line="276" w:lineRule="auto"/>
              <w:jc w:val="left"/>
              <w:rPr>
                <w:rFonts w:ascii="宋体" w:hAnsi="宋体" w:cs="宋体"/>
                <w:szCs w:val="21"/>
                <w:highlight w:val="none"/>
              </w:rPr>
            </w:pPr>
            <w:r>
              <w:rPr>
                <w:rFonts w:hint="eastAsia" w:ascii="宋体" w:hAnsi="宋体" w:cs="宋体"/>
                <w:szCs w:val="21"/>
                <w:highlight w:val="none"/>
              </w:rPr>
              <w:t>2.菜品轮换以及菜品创新的方案，包括周、月轮换方案。</w:t>
            </w:r>
          </w:p>
          <w:p>
            <w:pPr>
              <w:spacing w:line="276" w:lineRule="auto"/>
              <w:jc w:val="left"/>
              <w:rPr>
                <w:rFonts w:ascii="宋体" w:hAnsi="宋体" w:cs="宋体"/>
                <w:szCs w:val="21"/>
                <w:highlight w:val="none"/>
              </w:rPr>
            </w:pPr>
            <w:r>
              <w:rPr>
                <w:rFonts w:hint="eastAsia" w:ascii="宋体" w:hAnsi="宋体" w:cs="宋体"/>
                <w:szCs w:val="21"/>
                <w:highlight w:val="none"/>
              </w:rPr>
              <w:t>3.菜品成本分析以及价格管控措施：每个档口的无利菜品（需在方案中标注）数量占本档口菜品总数比例不低于20%，</w:t>
            </w:r>
          </w:p>
          <w:p>
            <w:pPr>
              <w:spacing w:line="276" w:lineRule="auto"/>
              <w:rPr>
                <w:rFonts w:ascii="宋体" w:hAnsi="宋体" w:cs="宋体"/>
                <w:szCs w:val="21"/>
                <w:highlight w:val="none"/>
              </w:rPr>
            </w:pPr>
            <w:r>
              <w:rPr>
                <w:rFonts w:hint="eastAsia" w:ascii="宋体" w:hAnsi="宋体" w:cs="宋体"/>
                <w:szCs w:val="21"/>
                <w:highlight w:val="none"/>
              </w:rPr>
              <w:t>4.倡导厉行节约，避免餐饮浪费的行动方案。</w:t>
            </w:r>
          </w:p>
        </w:tc>
        <w:tc>
          <w:tcPr>
            <w:tcW w:w="2436" w:type="dxa"/>
            <w:vAlign w:val="center"/>
          </w:tcPr>
          <w:p>
            <w:pPr>
              <w:spacing w:line="276" w:lineRule="auto"/>
              <w:rPr>
                <w:rFonts w:ascii="宋体" w:hAnsi="宋体" w:cs="宋体"/>
                <w:szCs w:val="21"/>
                <w:highlight w:val="none"/>
              </w:rPr>
            </w:pPr>
            <w:r>
              <w:rPr>
                <w:rFonts w:hint="eastAsia" w:ascii="宋体" w:hAnsi="宋体" w:cs="宋体"/>
                <w:szCs w:val="21"/>
                <w:highlight w:val="none"/>
              </w:rPr>
              <w:t>提供对应方案，格式自拟。</w:t>
            </w:r>
          </w:p>
          <w:p>
            <w:pPr>
              <w:spacing w:line="276" w:lineRule="auto"/>
              <w:rPr>
                <w:rFonts w:ascii="宋体" w:hAnsi="宋体" w:cs="宋体"/>
                <w:szCs w:val="21"/>
                <w:highlight w:val="none"/>
              </w:rPr>
            </w:pPr>
            <w:r>
              <w:rPr>
                <w:rFonts w:hint="eastAsia" w:ascii="宋体" w:hAnsi="宋体" w:cs="宋体"/>
                <w:szCs w:val="21"/>
                <w:highlight w:val="none"/>
              </w:rPr>
              <w:t>1.优：菜品管理方案总体完整，合理性高，菜品轮换创新度高，菜品搭配营养科学性强，成本分析以及价格管控措施实用性好，管理措施内容完整，得10分；</w:t>
            </w:r>
          </w:p>
          <w:p>
            <w:pPr>
              <w:spacing w:line="276" w:lineRule="auto"/>
              <w:rPr>
                <w:rFonts w:ascii="宋体" w:hAnsi="宋体" w:cs="宋体"/>
                <w:szCs w:val="21"/>
                <w:highlight w:val="none"/>
              </w:rPr>
            </w:pPr>
            <w:r>
              <w:rPr>
                <w:rFonts w:hint="eastAsia" w:ascii="宋体" w:hAnsi="宋体" w:cs="宋体"/>
                <w:szCs w:val="21"/>
                <w:highlight w:val="none"/>
              </w:rPr>
              <w:t>2.良：菜品管理方案总体较完整，合理性较高，菜品轮换创新度较高，菜品搭配营养科学性较强，成本分析以及价格管控措施实用性较好、管理措施内容较完整，得7分；</w:t>
            </w:r>
          </w:p>
          <w:p>
            <w:pPr>
              <w:spacing w:line="276" w:lineRule="auto"/>
              <w:rPr>
                <w:rFonts w:ascii="宋体" w:hAnsi="宋体" w:cs="宋体"/>
                <w:szCs w:val="21"/>
                <w:highlight w:val="none"/>
              </w:rPr>
            </w:pPr>
            <w:r>
              <w:rPr>
                <w:rFonts w:hint="eastAsia" w:ascii="宋体" w:hAnsi="宋体" w:cs="宋体"/>
                <w:szCs w:val="21"/>
                <w:highlight w:val="none"/>
              </w:rPr>
              <w:t>3.中：菜品管理方案总体完整一般，合理性一般，菜品轮换创新度一般，菜品搭配营养科学性一般，成本分析以及价格管控措施实用性一般、管理措施内容一般，得4分；</w:t>
            </w:r>
          </w:p>
          <w:p>
            <w:pPr>
              <w:spacing w:line="276" w:lineRule="auto"/>
              <w:rPr>
                <w:rFonts w:ascii="宋体" w:hAnsi="宋体" w:cs="宋体"/>
                <w:szCs w:val="21"/>
                <w:highlight w:val="none"/>
              </w:rPr>
            </w:pPr>
            <w:r>
              <w:rPr>
                <w:rFonts w:hint="eastAsia" w:ascii="宋体" w:hAnsi="宋体" w:cs="宋体"/>
                <w:szCs w:val="21"/>
                <w:highlight w:val="none"/>
              </w:rPr>
              <w:t>4.差：菜品管理方案完整度差，合理性差，菜品轮换创新度差，菜品搭配营养科学性差，成本分析以及价格管控措施实用性差、管理措施内容差，得1分；</w:t>
            </w:r>
          </w:p>
          <w:p>
            <w:pPr>
              <w:spacing w:line="276" w:lineRule="auto"/>
              <w:rPr>
                <w:rFonts w:ascii="宋体" w:hAnsi="宋体" w:cs="宋体"/>
                <w:szCs w:val="21"/>
                <w:highlight w:val="none"/>
              </w:rPr>
            </w:pPr>
            <w:r>
              <w:rPr>
                <w:rFonts w:hint="eastAsia" w:ascii="宋体" w:hAnsi="宋体" w:cs="宋体"/>
                <w:szCs w:val="21"/>
                <w:highlight w:val="none"/>
              </w:rPr>
              <w:t>5.未提供方案，得0分。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jc w:val="center"/>
        </w:trPr>
        <w:tc>
          <w:tcPr>
            <w:tcW w:w="564" w:type="dxa"/>
            <w:vMerge w:val="continue"/>
            <w:vAlign w:val="center"/>
          </w:tcPr>
          <w:p>
            <w:pPr>
              <w:spacing w:line="276" w:lineRule="auto"/>
              <w:jc w:val="center"/>
              <w:rPr>
                <w:rFonts w:ascii="宋体" w:hAnsi="宋体" w:cs="宋体"/>
                <w:szCs w:val="21"/>
                <w:highlight w:val="none"/>
              </w:rPr>
            </w:pPr>
          </w:p>
        </w:tc>
        <w:tc>
          <w:tcPr>
            <w:tcW w:w="1061" w:type="dxa"/>
            <w:vMerge w:val="continue"/>
            <w:vAlign w:val="center"/>
          </w:tcPr>
          <w:p>
            <w:pPr>
              <w:spacing w:line="276" w:lineRule="auto"/>
              <w:jc w:val="center"/>
              <w:rPr>
                <w:rFonts w:ascii="宋体" w:hAnsi="宋体" w:cs="宋体"/>
                <w:szCs w:val="21"/>
                <w:highlight w:val="none"/>
              </w:rPr>
            </w:pPr>
          </w:p>
        </w:tc>
        <w:tc>
          <w:tcPr>
            <w:tcW w:w="1090" w:type="dxa"/>
            <w:vAlign w:val="center"/>
          </w:tcPr>
          <w:p>
            <w:pPr>
              <w:spacing w:line="276" w:lineRule="auto"/>
              <w:jc w:val="center"/>
              <w:rPr>
                <w:rFonts w:ascii="宋体" w:hAnsi="宋体" w:cs="宋体"/>
                <w:szCs w:val="21"/>
                <w:highlight w:val="none"/>
              </w:rPr>
            </w:pPr>
            <w:r>
              <w:rPr>
                <w:rFonts w:hint="eastAsia" w:ascii="宋体" w:hAnsi="宋体" w:cs="宋体"/>
                <w:szCs w:val="21"/>
                <w:highlight w:val="none"/>
              </w:rPr>
              <w:t>食品加工规范方案</w:t>
            </w:r>
          </w:p>
          <w:p>
            <w:pPr>
              <w:spacing w:line="276" w:lineRule="auto"/>
              <w:jc w:val="center"/>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分）</w:t>
            </w:r>
          </w:p>
        </w:tc>
        <w:tc>
          <w:tcPr>
            <w:tcW w:w="4327" w:type="dxa"/>
            <w:vAlign w:val="center"/>
          </w:tcPr>
          <w:p>
            <w:pPr>
              <w:spacing w:line="276" w:lineRule="auto"/>
              <w:jc w:val="left"/>
              <w:rPr>
                <w:rFonts w:ascii="宋体" w:hAnsi="宋体" w:cs="宋体"/>
                <w:szCs w:val="21"/>
                <w:highlight w:val="none"/>
              </w:rPr>
            </w:pPr>
            <w:r>
              <w:rPr>
                <w:rFonts w:hint="eastAsia" w:ascii="宋体" w:hAnsi="宋体" w:cs="宋体"/>
                <w:szCs w:val="21"/>
                <w:highlight w:val="none"/>
              </w:rPr>
              <w:t>参竞人提供针对本项目的食品加工规范方案，包含不限于食品质量管理办法、食品存放管理办法等内容，根据提供的内容进行评分。</w:t>
            </w:r>
          </w:p>
          <w:p>
            <w:pPr>
              <w:spacing w:line="276" w:lineRule="auto"/>
              <w:jc w:val="left"/>
              <w:rPr>
                <w:rFonts w:ascii="宋体" w:hAnsi="宋体" w:cs="宋体"/>
                <w:szCs w:val="21"/>
                <w:highlight w:val="none"/>
              </w:rPr>
            </w:pPr>
            <w:bookmarkStart w:id="32" w:name="OLE_LINK77"/>
            <w:bookmarkStart w:id="33" w:name="OLE_LINK76"/>
            <w:r>
              <w:rPr>
                <w:rFonts w:hint="eastAsia" w:ascii="宋体" w:hAnsi="宋体" w:cs="宋体"/>
                <w:szCs w:val="21"/>
                <w:highlight w:val="none"/>
              </w:rPr>
              <w:t>内容不存在瑕疵，得</w:t>
            </w:r>
            <w:r>
              <w:rPr>
                <w:rFonts w:ascii="宋体" w:hAnsi="宋体" w:cs="宋体"/>
                <w:szCs w:val="21"/>
                <w:highlight w:val="none"/>
              </w:rPr>
              <w:t>5</w:t>
            </w:r>
            <w:r>
              <w:rPr>
                <w:rFonts w:hint="eastAsia" w:ascii="宋体" w:hAnsi="宋体" w:cs="宋体"/>
                <w:szCs w:val="21"/>
                <w:highlight w:val="none"/>
              </w:rPr>
              <w:t>分；</w:t>
            </w:r>
          </w:p>
          <w:p>
            <w:pPr>
              <w:spacing w:line="276" w:lineRule="auto"/>
              <w:jc w:val="left"/>
              <w:rPr>
                <w:rFonts w:ascii="宋体" w:hAnsi="宋体" w:cs="宋体"/>
                <w:szCs w:val="21"/>
                <w:highlight w:val="none"/>
              </w:rPr>
            </w:pPr>
            <w:r>
              <w:rPr>
                <w:rFonts w:hint="eastAsia" w:ascii="宋体" w:hAnsi="宋体" w:cs="宋体"/>
                <w:szCs w:val="21"/>
                <w:highlight w:val="none"/>
              </w:rPr>
              <w:t>内容存在1处瑕疵，得</w:t>
            </w:r>
            <w:r>
              <w:rPr>
                <w:rFonts w:ascii="宋体" w:hAnsi="宋体" w:cs="宋体"/>
                <w:szCs w:val="21"/>
                <w:highlight w:val="none"/>
              </w:rPr>
              <w:t>4</w:t>
            </w:r>
            <w:r>
              <w:rPr>
                <w:rFonts w:hint="eastAsia" w:ascii="宋体" w:hAnsi="宋体" w:cs="宋体"/>
                <w:szCs w:val="21"/>
                <w:highlight w:val="none"/>
              </w:rPr>
              <w:t>分；</w:t>
            </w:r>
          </w:p>
          <w:p>
            <w:pPr>
              <w:spacing w:line="276" w:lineRule="auto"/>
              <w:jc w:val="left"/>
              <w:rPr>
                <w:rFonts w:ascii="宋体" w:hAnsi="宋体" w:cs="宋体"/>
                <w:szCs w:val="21"/>
                <w:highlight w:val="none"/>
              </w:rPr>
            </w:pPr>
            <w:r>
              <w:rPr>
                <w:rFonts w:hint="eastAsia" w:ascii="宋体" w:hAnsi="宋体" w:cs="宋体"/>
                <w:szCs w:val="21"/>
                <w:highlight w:val="none"/>
              </w:rPr>
              <w:t>内容存在2处瑕疵，得3分；</w:t>
            </w:r>
          </w:p>
          <w:p>
            <w:pPr>
              <w:spacing w:line="276" w:lineRule="auto"/>
              <w:jc w:val="left"/>
              <w:rPr>
                <w:rFonts w:ascii="宋体" w:hAnsi="宋体" w:cs="宋体"/>
                <w:szCs w:val="21"/>
                <w:highlight w:val="none"/>
              </w:rPr>
            </w:pPr>
            <w:r>
              <w:rPr>
                <w:rFonts w:hint="eastAsia" w:ascii="宋体" w:hAnsi="宋体" w:cs="宋体"/>
                <w:szCs w:val="21"/>
                <w:highlight w:val="none"/>
              </w:rPr>
              <w:t>内容存在3处瑕疵，得1分；</w:t>
            </w:r>
            <w:bookmarkEnd w:id="32"/>
            <w:bookmarkEnd w:id="33"/>
          </w:p>
          <w:p>
            <w:pPr>
              <w:widowControl/>
              <w:spacing w:line="276" w:lineRule="auto"/>
              <w:outlineLvl w:val="2"/>
              <w:rPr>
                <w:rFonts w:ascii="宋体" w:hAnsi="宋体" w:cs="宋体"/>
                <w:szCs w:val="21"/>
                <w:highlight w:val="none"/>
              </w:rPr>
            </w:pPr>
            <w:r>
              <w:rPr>
                <w:rFonts w:hint="eastAsia" w:ascii="宋体" w:hAnsi="宋体" w:cs="宋体"/>
                <w:szCs w:val="21"/>
                <w:highlight w:val="none"/>
              </w:rPr>
              <w:t>内容存在4处及以上瑕疵或未提供方案不得分。</w:t>
            </w:r>
          </w:p>
        </w:tc>
        <w:tc>
          <w:tcPr>
            <w:tcW w:w="2436" w:type="dxa"/>
            <w:vMerge w:val="restart"/>
            <w:vAlign w:val="center"/>
          </w:tcPr>
          <w:p>
            <w:pPr>
              <w:spacing w:line="276" w:lineRule="auto"/>
              <w:rPr>
                <w:rFonts w:ascii="宋体" w:hAnsi="宋体" w:cs="宋体"/>
                <w:szCs w:val="21"/>
                <w:highlight w:val="none"/>
              </w:rPr>
            </w:pPr>
            <w:r>
              <w:rPr>
                <w:rFonts w:hint="eastAsia" w:ascii="宋体" w:hAnsi="宋体" w:cs="宋体"/>
                <w:szCs w:val="21"/>
                <w:highlight w:val="none"/>
              </w:rPr>
              <w:t>1.提供对应方案，格式自拟。</w:t>
            </w:r>
          </w:p>
          <w:p>
            <w:pPr>
              <w:spacing w:line="276" w:lineRule="auto"/>
              <w:rPr>
                <w:rFonts w:ascii="宋体" w:hAnsi="宋体" w:cs="宋体"/>
                <w:szCs w:val="21"/>
                <w:highlight w:val="none"/>
              </w:rPr>
            </w:pPr>
            <w:r>
              <w:rPr>
                <w:rFonts w:hint="eastAsia" w:ascii="宋体" w:hAnsi="宋体" w:cs="宋体"/>
                <w:szCs w:val="21"/>
                <w:highlight w:val="none"/>
              </w:rPr>
              <w:t>2.本项内容中所称的“瑕疵”指以下任意一种情形：</w:t>
            </w:r>
          </w:p>
          <w:p>
            <w:pPr>
              <w:spacing w:line="276" w:lineRule="auto"/>
              <w:rPr>
                <w:rFonts w:ascii="宋体" w:hAnsi="宋体" w:cs="宋体"/>
                <w:szCs w:val="21"/>
                <w:highlight w:val="none"/>
              </w:rPr>
            </w:pPr>
            <w:r>
              <w:rPr>
                <w:rFonts w:hint="eastAsia" w:ascii="宋体" w:hAnsi="宋体" w:cs="宋体"/>
                <w:szCs w:val="21"/>
                <w:highlight w:val="none"/>
              </w:rPr>
              <w:t>（1）方案出现内容缺项、内容表述不完整、内容空泛、无具体实施方法或缺少关键分析点；</w:t>
            </w:r>
          </w:p>
          <w:p>
            <w:pPr>
              <w:spacing w:line="276" w:lineRule="auto"/>
              <w:rPr>
                <w:rFonts w:ascii="宋体" w:hAnsi="宋体" w:cs="宋体"/>
                <w:szCs w:val="21"/>
                <w:highlight w:val="none"/>
              </w:rPr>
            </w:pPr>
            <w:r>
              <w:rPr>
                <w:rFonts w:hint="eastAsia" w:ascii="宋体" w:hAnsi="宋体" w:cs="宋体"/>
                <w:szCs w:val="21"/>
                <w:highlight w:val="none"/>
              </w:rPr>
              <w:t>（2）方案内容表述前后矛盾、无连贯性或内容存在逻辑漏洞、常识错误；</w:t>
            </w:r>
          </w:p>
          <w:p>
            <w:pPr>
              <w:spacing w:line="276" w:lineRule="auto"/>
              <w:rPr>
                <w:rFonts w:ascii="宋体" w:hAnsi="宋体" w:cs="宋体"/>
                <w:szCs w:val="21"/>
                <w:highlight w:val="none"/>
              </w:rPr>
            </w:pPr>
            <w:r>
              <w:rPr>
                <w:rFonts w:hint="eastAsia" w:ascii="宋体" w:hAnsi="宋体" w:cs="宋体"/>
                <w:szCs w:val="21"/>
                <w:highlight w:val="none"/>
              </w:rPr>
              <w:t>（3）方案安排并不适用本项目特性或不利于本项目的目的实现或出现与本项目不相关的其他内容或非专门针对本项目制定；</w:t>
            </w:r>
          </w:p>
          <w:p>
            <w:pPr>
              <w:spacing w:line="276" w:lineRule="auto"/>
              <w:rPr>
                <w:rFonts w:ascii="宋体" w:hAnsi="宋体" w:cs="宋体"/>
                <w:szCs w:val="21"/>
                <w:highlight w:val="none"/>
              </w:rPr>
            </w:pPr>
            <w:r>
              <w:rPr>
                <w:rFonts w:hint="eastAsia" w:ascii="宋体" w:hAnsi="宋体" w:cs="宋体"/>
                <w:szCs w:val="21"/>
                <w:highlight w:val="none"/>
              </w:rPr>
              <w:t>（4）方案中提出的措施举措现有条件下不可能实现的。</w:t>
            </w:r>
          </w:p>
          <w:p>
            <w:pPr>
              <w:spacing w:line="276" w:lineRule="auto"/>
              <w:rPr>
                <w:highlight w:val="none"/>
              </w:rPr>
            </w:pPr>
            <w:r>
              <w:rPr>
                <w:rFonts w:hint="eastAsia" w:ascii="宋体" w:hAnsi="宋体" w:cs="宋体"/>
                <w:szCs w:val="21"/>
                <w:highlight w:val="none"/>
              </w:rPr>
              <w:t>（5）方案并不适用本项目特性或非专门针对本项目制定。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564" w:type="dxa"/>
            <w:vMerge w:val="continue"/>
            <w:vAlign w:val="center"/>
          </w:tcPr>
          <w:p>
            <w:pPr>
              <w:spacing w:line="276" w:lineRule="auto"/>
              <w:jc w:val="center"/>
              <w:rPr>
                <w:rFonts w:ascii="宋体" w:hAnsi="宋体" w:cs="宋体"/>
                <w:szCs w:val="21"/>
                <w:highlight w:val="none"/>
              </w:rPr>
            </w:pPr>
          </w:p>
        </w:tc>
        <w:tc>
          <w:tcPr>
            <w:tcW w:w="1061" w:type="dxa"/>
            <w:vMerge w:val="continue"/>
            <w:vAlign w:val="center"/>
          </w:tcPr>
          <w:p>
            <w:pPr>
              <w:spacing w:line="276" w:lineRule="auto"/>
              <w:jc w:val="center"/>
              <w:rPr>
                <w:rFonts w:ascii="宋体" w:hAnsi="宋体" w:cs="宋体"/>
                <w:szCs w:val="21"/>
                <w:highlight w:val="none"/>
              </w:rPr>
            </w:pPr>
          </w:p>
        </w:tc>
        <w:tc>
          <w:tcPr>
            <w:tcW w:w="1090" w:type="dxa"/>
            <w:vAlign w:val="center"/>
          </w:tcPr>
          <w:p>
            <w:pPr>
              <w:spacing w:line="276" w:lineRule="auto"/>
              <w:jc w:val="center"/>
              <w:rPr>
                <w:rFonts w:ascii="宋体" w:hAnsi="宋体" w:cs="宋体"/>
                <w:szCs w:val="21"/>
                <w:highlight w:val="none"/>
              </w:rPr>
            </w:pPr>
            <w:r>
              <w:rPr>
                <w:rFonts w:hint="eastAsia" w:ascii="宋体" w:hAnsi="宋体" w:cs="宋体"/>
                <w:szCs w:val="21"/>
                <w:highlight w:val="none"/>
              </w:rPr>
              <w:t>原材料采购方案</w:t>
            </w:r>
          </w:p>
          <w:p>
            <w:pPr>
              <w:spacing w:line="276" w:lineRule="auto"/>
              <w:jc w:val="center"/>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分）</w:t>
            </w:r>
          </w:p>
        </w:tc>
        <w:tc>
          <w:tcPr>
            <w:tcW w:w="4327" w:type="dxa"/>
            <w:vAlign w:val="center"/>
          </w:tcPr>
          <w:p>
            <w:pPr>
              <w:widowControl/>
              <w:spacing w:line="276" w:lineRule="auto"/>
              <w:outlineLvl w:val="2"/>
              <w:rPr>
                <w:rFonts w:ascii="宋体" w:hAnsi="宋体" w:cs="宋体"/>
                <w:szCs w:val="21"/>
                <w:highlight w:val="none"/>
              </w:rPr>
            </w:pPr>
            <w:r>
              <w:rPr>
                <w:rFonts w:hint="eastAsia" w:ascii="宋体" w:hAnsi="宋体" w:cs="宋体"/>
                <w:szCs w:val="21"/>
                <w:highlight w:val="none"/>
              </w:rPr>
              <w:t>提供食堂原材料采购方案，制订相关采购、登记、溯源制度；根据提供的内容进行评分。</w:t>
            </w:r>
          </w:p>
          <w:p>
            <w:pPr>
              <w:spacing w:line="276" w:lineRule="auto"/>
              <w:jc w:val="left"/>
              <w:rPr>
                <w:rFonts w:ascii="宋体" w:hAnsi="宋体" w:cs="宋体"/>
                <w:szCs w:val="21"/>
                <w:highlight w:val="none"/>
              </w:rPr>
            </w:pPr>
            <w:r>
              <w:rPr>
                <w:rFonts w:hint="eastAsia" w:ascii="宋体" w:hAnsi="宋体" w:cs="宋体"/>
                <w:szCs w:val="21"/>
                <w:highlight w:val="none"/>
              </w:rPr>
              <w:t>内容不存在瑕疵，得</w:t>
            </w:r>
            <w:r>
              <w:rPr>
                <w:rFonts w:ascii="宋体" w:hAnsi="宋体" w:cs="宋体"/>
                <w:szCs w:val="21"/>
                <w:highlight w:val="none"/>
              </w:rPr>
              <w:t>5</w:t>
            </w:r>
            <w:r>
              <w:rPr>
                <w:rFonts w:hint="eastAsia" w:ascii="宋体" w:hAnsi="宋体" w:cs="宋体"/>
                <w:szCs w:val="21"/>
                <w:highlight w:val="none"/>
              </w:rPr>
              <w:t>分；</w:t>
            </w:r>
          </w:p>
          <w:p>
            <w:pPr>
              <w:spacing w:line="276" w:lineRule="auto"/>
              <w:jc w:val="left"/>
              <w:rPr>
                <w:rFonts w:ascii="宋体" w:hAnsi="宋体" w:cs="宋体"/>
                <w:szCs w:val="21"/>
                <w:highlight w:val="none"/>
              </w:rPr>
            </w:pPr>
            <w:r>
              <w:rPr>
                <w:rFonts w:hint="eastAsia" w:ascii="宋体" w:hAnsi="宋体" w:cs="宋体"/>
                <w:szCs w:val="21"/>
                <w:highlight w:val="none"/>
              </w:rPr>
              <w:t>内容存在1处瑕疵，得</w:t>
            </w:r>
            <w:r>
              <w:rPr>
                <w:rFonts w:ascii="宋体" w:hAnsi="宋体" w:cs="宋体"/>
                <w:szCs w:val="21"/>
                <w:highlight w:val="none"/>
              </w:rPr>
              <w:t>4</w:t>
            </w:r>
            <w:r>
              <w:rPr>
                <w:rFonts w:hint="eastAsia" w:ascii="宋体" w:hAnsi="宋体" w:cs="宋体"/>
                <w:szCs w:val="21"/>
                <w:highlight w:val="none"/>
              </w:rPr>
              <w:t>分；</w:t>
            </w:r>
          </w:p>
          <w:p>
            <w:pPr>
              <w:spacing w:line="276" w:lineRule="auto"/>
              <w:jc w:val="left"/>
              <w:rPr>
                <w:rFonts w:ascii="宋体" w:hAnsi="宋体" w:cs="宋体"/>
                <w:szCs w:val="21"/>
                <w:highlight w:val="none"/>
              </w:rPr>
            </w:pPr>
            <w:r>
              <w:rPr>
                <w:rFonts w:hint="eastAsia" w:ascii="宋体" w:hAnsi="宋体" w:cs="宋体"/>
                <w:szCs w:val="21"/>
                <w:highlight w:val="none"/>
              </w:rPr>
              <w:t>内容存在2处瑕疵，得3分；</w:t>
            </w:r>
          </w:p>
          <w:p>
            <w:pPr>
              <w:spacing w:line="276" w:lineRule="auto"/>
              <w:jc w:val="left"/>
              <w:rPr>
                <w:rFonts w:ascii="宋体" w:hAnsi="宋体" w:cs="宋体"/>
                <w:szCs w:val="21"/>
                <w:highlight w:val="none"/>
              </w:rPr>
            </w:pPr>
            <w:r>
              <w:rPr>
                <w:rFonts w:hint="eastAsia" w:ascii="宋体" w:hAnsi="宋体" w:cs="宋体"/>
                <w:szCs w:val="21"/>
                <w:highlight w:val="none"/>
              </w:rPr>
              <w:t>内容存在3处瑕疵，得1分；</w:t>
            </w:r>
          </w:p>
          <w:p>
            <w:pPr>
              <w:widowControl/>
              <w:spacing w:line="276" w:lineRule="auto"/>
              <w:outlineLvl w:val="2"/>
              <w:rPr>
                <w:rFonts w:ascii="宋体" w:hAnsi="宋体" w:cs="宋体"/>
                <w:szCs w:val="21"/>
                <w:highlight w:val="none"/>
              </w:rPr>
            </w:pPr>
            <w:r>
              <w:rPr>
                <w:rFonts w:hint="eastAsia" w:ascii="宋体" w:hAnsi="宋体" w:cs="宋体"/>
                <w:szCs w:val="21"/>
                <w:highlight w:val="none"/>
              </w:rPr>
              <w:t>内容存在4处及以上瑕疵或未提供方案不得分。</w:t>
            </w:r>
          </w:p>
        </w:tc>
        <w:tc>
          <w:tcPr>
            <w:tcW w:w="2436" w:type="dxa"/>
            <w:vMerge w:val="continue"/>
            <w:vAlign w:val="center"/>
          </w:tcPr>
          <w:p>
            <w:pPr>
              <w:spacing w:line="276"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564" w:type="dxa"/>
            <w:vMerge w:val="continue"/>
            <w:vAlign w:val="center"/>
          </w:tcPr>
          <w:p>
            <w:pPr>
              <w:spacing w:line="276" w:lineRule="auto"/>
              <w:jc w:val="center"/>
              <w:rPr>
                <w:rFonts w:ascii="宋体" w:hAnsi="宋体" w:cs="宋体"/>
                <w:szCs w:val="21"/>
                <w:highlight w:val="none"/>
              </w:rPr>
            </w:pPr>
          </w:p>
        </w:tc>
        <w:tc>
          <w:tcPr>
            <w:tcW w:w="1061" w:type="dxa"/>
            <w:vMerge w:val="continue"/>
            <w:vAlign w:val="center"/>
          </w:tcPr>
          <w:p>
            <w:pPr>
              <w:spacing w:line="276" w:lineRule="auto"/>
              <w:jc w:val="center"/>
              <w:rPr>
                <w:rFonts w:ascii="宋体" w:hAnsi="宋体" w:cs="宋体"/>
                <w:szCs w:val="21"/>
                <w:highlight w:val="none"/>
              </w:rPr>
            </w:pPr>
          </w:p>
        </w:tc>
        <w:tc>
          <w:tcPr>
            <w:tcW w:w="1090" w:type="dxa"/>
            <w:vAlign w:val="center"/>
          </w:tcPr>
          <w:p>
            <w:pPr>
              <w:spacing w:line="276" w:lineRule="auto"/>
              <w:jc w:val="center"/>
              <w:rPr>
                <w:rFonts w:ascii="宋体" w:hAnsi="宋体" w:cs="宋体"/>
                <w:szCs w:val="21"/>
                <w:highlight w:val="none"/>
              </w:rPr>
            </w:pPr>
            <w:r>
              <w:rPr>
                <w:rFonts w:hint="eastAsia" w:ascii="宋体" w:hAnsi="宋体" w:cs="宋体"/>
                <w:szCs w:val="21"/>
                <w:highlight w:val="none"/>
              </w:rPr>
              <w:t>安全卫生管理方案</w:t>
            </w:r>
          </w:p>
          <w:p>
            <w:pPr>
              <w:spacing w:line="276" w:lineRule="auto"/>
              <w:jc w:val="center"/>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分）</w:t>
            </w:r>
          </w:p>
        </w:tc>
        <w:tc>
          <w:tcPr>
            <w:tcW w:w="4327" w:type="dxa"/>
            <w:vAlign w:val="center"/>
          </w:tcPr>
          <w:p>
            <w:pPr>
              <w:widowControl/>
              <w:spacing w:line="276" w:lineRule="auto"/>
              <w:outlineLvl w:val="2"/>
              <w:rPr>
                <w:rFonts w:ascii="宋体" w:hAnsi="宋体" w:cs="宋体"/>
                <w:szCs w:val="21"/>
                <w:highlight w:val="none"/>
              </w:rPr>
            </w:pPr>
            <w:r>
              <w:rPr>
                <w:rFonts w:hint="eastAsia" w:ascii="宋体" w:hAnsi="宋体" w:cs="宋体"/>
                <w:szCs w:val="21"/>
                <w:highlight w:val="none"/>
              </w:rPr>
              <w:t>参竞人提供针对本项目的安全卫生管理方案，包含不限于制度安全卫生管理制度、安全卫生管理实施方案、设施设备使用管理方案等内容，制定食堂留样制度；食堂投诉受理制度。</w:t>
            </w:r>
          </w:p>
          <w:p>
            <w:pPr>
              <w:spacing w:line="276" w:lineRule="auto"/>
              <w:jc w:val="left"/>
              <w:rPr>
                <w:rFonts w:ascii="宋体" w:hAnsi="宋体" w:cs="宋体"/>
                <w:szCs w:val="21"/>
                <w:highlight w:val="none"/>
              </w:rPr>
            </w:pPr>
            <w:r>
              <w:rPr>
                <w:rFonts w:hint="eastAsia" w:ascii="宋体" w:hAnsi="宋体" w:cs="宋体"/>
                <w:szCs w:val="21"/>
                <w:highlight w:val="none"/>
              </w:rPr>
              <w:t>根据提供的内容进行评分。</w:t>
            </w:r>
          </w:p>
          <w:p>
            <w:pPr>
              <w:spacing w:line="276" w:lineRule="auto"/>
              <w:jc w:val="left"/>
              <w:rPr>
                <w:rFonts w:ascii="宋体" w:hAnsi="宋体" w:cs="宋体"/>
                <w:szCs w:val="21"/>
                <w:highlight w:val="none"/>
              </w:rPr>
            </w:pPr>
            <w:bookmarkStart w:id="34" w:name="OLE_LINK73"/>
            <w:bookmarkStart w:id="35" w:name="OLE_LINK74"/>
            <w:r>
              <w:rPr>
                <w:rFonts w:hint="eastAsia" w:ascii="宋体" w:hAnsi="宋体" w:cs="宋体"/>
                <w:szCs w:val="21"/>
                <w:highlight w:val="none"/>
              </w:rPr>
              <w:t>内容不存在瑕疵，得</w:t>
            </w:r>
            <w:r>
              <w:rPr>
                <w:rFonts w:ascii="宋体" w:hAnsi="宋体" w:cs="宋体"/>
                <w:szCs w:val="21"/>
                <w:highlight w:val="none"/>
              </w:rPr>
              <w:t>5</w:t>
            </w:r>
            <w:r>
              <w:rPr>
                <w:rFonts w:hint="eastAsia" w:ascii="宋体" w:hAnsi="宋体" w:cs="宋体"/>
                <w:szCs w:val="21"/>
                <w:highlight w:val="none"/>
              </w:rPr>
              <w:t>分；</w:t>
            </w:r>
          </w:p>
          <w:p>
            <w:pPr>
              <w:spacing w:line="276" w:lineRule="auto"/>
              <w:jc w:val="left"/>
              <w:rPr>
                <w:rFonts w:ascii="宋体" w:hAnsi="宋体" w:cs="宋体"/>
                <w:szCs w:val="21"/>
                <w:highlight w:val="none"/>
              </w:rPr>
            </w:pPr>
            <w:r>
              <w:rPr>
                <w:rFonts w:hint="eastAsia" w:ascii="宋体" w:hAnsi="宋体" w:cs="宋体"/>
                <w:szCs w:val="21"/>
                <w:highlight w:val="none"/>
              </w:rPr>
              <w:t>内容存在1处瑕疵，得</w:t>
            </w:r>
            <w:r>
              <w:rPr>
                <w:rFonts w:ascii="宋体" w:hAnsi="宋体" w:cs="宋体"/>
                <w:szCs w:val="21"/>
                <w:highlight w:val="none"/>
              </w:rPr>
              <w:t>4</w:t>
            </w:r>
            <w:r>
              <w:rPr>
                <w:rFonts w:hint="eastAsia" w:ascii="宋体" w:hAnsi="宋体" w:cs="宋体"/>
                <w:szCs w:val="21"/>
                <w:highlight w:val="none"/>
              </w:rPr>
              <w:t>分；</w:t>
            </w:r>
          </w:p>
          <w:p>
            <w:pPr>
              <w:spacing w:line="276" w:lineRule="auto"/>
              <w:jc w:val="left"/>
              <w:rPr>
                <w:rFonts w:ascii="宋体" w:hAnsi="宋体" w:cs="宋体"/>
                <w:szCs w:val="21"/>
                <w:highlight w:val="none"/>
              </w:rPr>
            </w:pPr>
            <w:r>
              <w:rPr>
                <w:rFonts w:hint="eastAsia" w:ascii="宋体" w:hAnsi="宋体" w:cs="宋体"/>
                <w:szCs w:val="21"/>
                <w:highlight w:val="none"/>
              </w:rPr>
              <w:t>内容存在2处瑕疵，得3分；</w:t>
            </w:r>
          </w:p>
          <w:p>
            <w:pPr>
              <w:spacing w:line="276" w:lineRule="auto"/>
              <w:jc w:val="left"/>
              <w:rPr>
                <w:rFonts w:ascii="宋体" w:hAnsi="宋体" w:cs="宋体"/>
                <w:szCs w:val="21"/>
                <w:highlight w:val="none"/>
              </w:rPr>
            </w:pPr>
            <w:r>
              <w:rPr>
                <w:rFonts w:hint="eastAsia" w:ascii="宋体" w:hAnsi="宋体" w:cs="宋体"/>
                <w:szCs w:val="21"/>
                <w:highlight w:val="none"/>
              </w:rPr>
              <w:t>内容存在3处瑕疵，得1分；</w:t>
            </w:r>
            <w:bookmarkEnd w:id="34"/>
            <w:bookmarkEnd w:id="35"/>
          </w:p>
          <w:p>
            <w:pPr>
              <w:widowControl/>
              <w:spacing w:line="276" w:lineRule="auto"/>
              <w:outlineLvl w:val="2"/>
              <w:rPr>
                <w:rFonts w:ascii="宋体" w:hAnsi="宋体" w:cs="宋体"/>
                <w:szCs w:val="21"/>
                <w:highlight w:val="none"/>
              </w:rPr>
            </w:pPr>
            <w:r>
              <w:rPr>
                <w:rFonts w:hint="eastAsia" w:ascii="宋体" w:hAnsi="宋体" w:cs="宋体"/>
                <w:szCs w:val="21"/>
                <w:highlight w:val="none"/>
              </w:rPr>
              <w:t>内容存在4处及以上瑕疵或未提供方案不得分。</w:t>
            </w:r>
          </w:p>
        </w:tc>
        <w:tc>
          <w:tcPr>
            <w:tcW w:w="2436" w:type="dxa"/>
            <w:vMerge w:val="continue"/>
            <w:vAlign w:val="center"/>
          </w:tcPr>
          <w:p>
            <w:pPr>
              <w:spacing w:line="276"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564" w:type="dxa"/>
            <w:vMerge w:val="continue"/>
            <w:vAlign w:val="center"/>
          </w:tcPr>
          <w:p>
            <w:pPr>
              <w:spacing w:line="276" w:lineRule="auto"/>
              <w:jc w:val="center"/>
              <w:rPr>
                <w:rFonts w:ascii="宋体" w:hAnsi="宋体" w:cs="宋体"/>
                <w:szCs w:val="21"/>
                <w:highlight w:val="none"/>
              </w:rPr>
            </w:pPr>
          </w:p>
        </w:tc>
        <w:tc>
          <w:tcPr>
            <w:tcW w:w="1061" w:type="dxa"/>
            <w:vMerge w:val="continue"/>
            <w:vAlign w:val="center"/>
          </w:tcPr>
          <w:p>
            <w:pPr>
              <w:spacing w:line="276" w:lineRule="auto"/>
              <w:jc w:val="center"/>
              <w:rPr>
                <w:rFonts w:ascii="宋体" w:hAnsi="宋体" w:cs="宋体"/>
                <w:szCs w:val="21"/>
                <w:highlight w:val="none"/>
              </w:rPr>
            </w:pPr>
          </w:p>
        </w:tc>
        <w:tc>
          <w:tcPr>
            <w:tcW w:w="1090" w:type="dxa"/>
            <w:vAlign w:val="center"/>
          </w:tcPr>
          <w:p>
            <w:pPr>
              <w:spacing w:line="276" w:lineRule="auto"/>
              <w:jc w:val="center"/>
              <w:rPr>
                <w:rFonts w:ascii="宋体" w:hAnsi="宋体" w:cs="宋体"/>
                <w:szCs w:val="21"/>
                <w:highlight w:val="none"/>
              </w:rPr>
            </w:pPr>
            <w:r>
              <w:rPr>
                <w:rFonts w:hint="eastAsia" w:ascii="宋体" w:hAnsi="宋体" w:cs="宋体"/>
                <w:szCs w:val="21"/>
                <w:highlight w:val="none"/>
              </w:rPr>
              <w:t>应急保障方案</w:t>
            </w:r>
          </w:p>
          <w:p>
            <w:pPr>
              <w:spacing w:line="276" w:lineRule="auto"/>
              <w:jc w:val="center"/>
              <w:rPr>
                <w:rFonts w:ascii="宋体" w:hAnsi="宋体" w:cs="宋体"/>
                <w:szCs w:val="21"/>
                <w:highlight w:val="none"/>
              </w:rPr>
            </w:pPr>
            <w:r>
              <w:rPr>
                <w:rFonts w:hint="eastAsia" w:ascii="宋体" w:hAnsi="宋体" w:cs="宋体"/>
                <w:szCs w:val="21"/>
                <w:highlight w:val="none"/>
              </w:rPr>
              <w:t>（5分）</w:t>
            </w:r>
          </w:p>
        </w:tc>
        <w:tc>
          <w:tcPr>
            <w:tcW w:w="4327" w:type="dxa"/>
            <w:vAlign w:val="center"/>
          </w:tcPr>
          <w:p>
            <w:pPr>
              <w:spacing w:line="276" w:lineRule="auto"/>
              <w:jc w:val="left"/>
              <w:rPr>
                <w:rFonts w:ascii="宋体" w:hAnsi="宋体" w:cs="宋体"/>
                <w:szCs w:val="21"/>
                <w:highlight w:val="none"/>
              </w:rPr>
            </w:pPr>
            <w:r>
              <w:rPr>
                <w:rFonts w:hint="eastAsia" w:ascii="宋体" w:hAnsi="宋体" w:cs="宋体"/>
                <w:szCs w:val="21"/>
                <w:highlight w:val="none"/>
              </w:rPr>
              <w:t>参竞人提供针对本项目的安全应急保障方案，包含不限于质量保障、客户投诉处理办法、应急服务措施（含网络舆情、停水电气、消防燃气安全、设备故障、治安事件、自然灾害、员工群体性事件、人身意外伤亡等应急方案及员工生产安全措施、设施维护等）等内容，根据提供的内容进行评分。</w:t>
            </w:r>
          </w:p>
          <w:p>
            <w:pPr>
              <w:spacing w:line="276" w:lineRule="auto"/>
              <w:jc w:val="left"/>
              <w:rPr>
                <w:rFonts w:ascii="宋体" w:hAnsi="宋体" w:cs="宋体"/>
                <w:szCs w:val="21"/>
                <w:highlight w:val="none"/>
              </w:rPr>
            </w:pPr>
            <w:r>
              <w:rPr>
                <w:rFonts w:hint="eastAsia" w:ascii="宋体" w:hAnsi="宋体" w:cs="宋体"/>
                <w:szCs w:val="21"/>
                <w:highlight w:val="none"/>
              </w:rPr>
              <w:t>内容不存在瑕疵，得5分；</w:t>
            </w:r>
          </w:p>
          <w:p>
            <w:pPr>
              <w:spacing w:line="276" w:lineRule="auto"/>
              <w:jc w:val="left"/>
              <w:rPr>
                <w:rFonts w:ascii="宋体" w:hAnsi="宋体" w:cs="宋体"/>
                <w:szCs w:val="21"/>
                <w:highlight w:val="none"/>
              </w:rPr>
            </w:pPr>
            <w:r>
              <w:rPr>
                <w:rFonts w:hint="eastAsia" w:ascii="宋体" w:hAnsi="宋体" w:cs="宋体"/>
                <w:szCs w:val="21"/>
                <w:highlight w:val="none"/>
              </w:rPr>
              <w:t>内容存在1处瑕疵，得4分；</w:t>
            </w:r>
          </w:p>
          <w:p>
            <w:pPr>
              <w:spacing w:line="276" w:lineRule="auto"/>
              <w:jc w:val="left"/>
              <w:rPr>
                <w:rFonts w:ascii="宋体" w:hAnsi="宋体" w:cs="宋体"/>
                <w:szCs w:val="21"/>
                <w:highlight w:val="none"/>
              </w:rPr>
            </w:pPr>
            <w:r>
              <w:rPr>
                <w:rFonts w:hint="eastAsia" w:ascii="宋体" w:hAnsi="宋体" w:cs="宋体"/>
                <w:szCs w:val="21"/>
                <w:highlight w:val="none"/>
              </w:rPr>
              <w:t>内容存在2处瑕疵，得3分；</w:t>
            </w:r>
          </w:p>
          <w:p>
            <w:pPr>
              <w:spacing w:line="276" w:lineRule="auto"/>
              <w:jc w:val="left"/>
              <w:rPr>
                <w:rFonts w:ascii="宋体" w:hAnsi="宋体" w:cs="宋体"/>
                <w:szCs w:val="21"/>
                <w:highlight w:val="none"/>
              </w:rPr>
            </w:pPr>
            <w:r>
              <w:rPr>
                <w:rFonts w:hint="eastAsia" w:ascii="宋体" w:hAnsi="宋体" w:cs="宋体"/>
                <w:szCs w:val="21"/>
                <w:highlight w:val="none"/>
              </w:rPr>
              <w:t>内容存在3处瑕疵，得1分；</w:t>
            </w:r>
          </w:p>
          <w:p>
            <w:pPr>
              <w:widowControl/>
              <w:spacing w:line="276" w:lineRule="auto"/>
              <w:outlineLvl w:val="2"/>
              <w:rPr>
                <w:rFonts w:ascii="宋体" w:hAnsi="宋体" w:cs="宋体"/>
                <w:szCs w:val="21"/>
                <w:highlight w:val="none"/>
              </w:rPr>
            </w:pPr>
            <w:r>
              <w:rPr>
                <w:rFonts w:hint="eastAsia" w:ascii="宋体" w:hAnsi="宋体" w:cs="宋体"/>
                <w:szCs w:val="21"/>
                <w:highlight w:val="none"/>
              </w:rPr>
              <w:t>内容存在4处及以上瑕疵或未提供方案不得分。</w:t>
            </w:r>
          </w:p>
        </w:tc>
        <w:tc>
          <w:tcPr>
            <w:tcW w:w="2436" w:type="dxa"/>
            <w:vMerge w:val="continue"/>
            <w:vAlign w:val="center"/>
          </w:tcPr>
          <w:p>
            <w:pPr>
              <w:spacing w:line="276"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64" w:type="dxa"/>
            <w:vMerge w:val="continue"/>
            <w:vAlign w:val="center"/>
          </w:tcPr>
          <w:p>
            <w:pPr>
              <w:spacing w:line="276" w:lineRule="auto"/>
              <w:jc w:val="center"/>
              <w:rPr>
                <w:rFonts w:ascii="宋体" w:hAnsi="宋体" w:cs="宋体"/>
                <w:szCs w:val="21"/>
                <w:highlight w:val="none"/>
              </w:rPr>
            </w:pPr>
            <w:bookmarkStart w:id="36" w:name="_Hlk194088518"/>
          </w:p>
        </w:tc>
        <w:tc>
          <w:tcPr>
            <w:tcW w:w="1061" w:type="dxa"/>
            <w:vMerge w:val="continue"/>
            <w:vAlign w:val="center"/>
          </w:tcPr>
          <w:p>
            <w:pPr>
              <w:spacing w:line="276" w:lineRule="auto"/>
              <w:jc w:val="center"/>
              <w:rPr>
                <w:rFonts w:ascii="宋体" w:hAnsi="宋体" w:cs="宋体"/>
                <w:szCs w:val="21"/>
                <w:highlight w:val="none"/>
              </w:rPr>
            </w:pPr>
          </w:p>
        </w:tc>
        <w:tc>
          <w:tcPr>
            <w:tcW w:w="1090" w:type="dxa"/>
            <w:vAlign w:val="center"/>
          </w:tcPr>
          <w:p>
            <w:pPr>
              <w:spacing w:line="276" w:lineRule="auto"/>
              <w:jc w:val="center"/>
              <w:rPr>
                <w:rFonts w:ascii="宋体" w:hAnsi="宋体" w:cs="宋体"/>
                <w:szCs w:val="21"/>
                <w:highlight w:val="none"/>
              </w:rPr>
            </w:pPr>
            <w:r>
              <w:rPr>
                <w:rFonts w:hint="eastAsia" w:ascii="宋体" w:hAnsi="宋体" w:cs="宋体"/>
                <w:szCs w:val="21"/>
                <w:highlight w:val="none"/>
              </w:rPr>
              <w:t>食堂环境改善方案</w:t>
            </w:r>
          </w:p>
          <w:p>
            <w:pPr>
              <w:spacing w:line="276" w:lineRule="auto"/>
              <w:jc w:val="center"/>
              <w:rPr>
                <w:rFonts w:ascii="宋体" w:hAnsi="宋体" w:cs="宋体"/>
                <w:szCs w:val="21"/>
                <w:highlight w:val="none"/>
              </w:rPr>
            </w:pPr>
            <w:r>
              <w:rPr>
                <w:rFonts w:hint="eastAsia" w:ascii="宋体" w:hAnsi="宋体" w:cs="宋体"/>
                <w:szCs w:val="21"/>
                <w:highlight w:val="none"/>
              </w:rPr>
              <w:t>（7分）</w:t>
            </w:r>
          </w:p>
          <w:p>
            <w:pPr>
              <w:spacing w:line="276" w:lineRule="auto"/>
              <w:jc w:val="center"/>
              <w:rPr>
                <w:rFonts w:ascii="宋体" w:hAnsi="宋体" w:cs="宋体"/>
                <w:szCs w:val="21"/>
                <w:highlight w:val="none"/>
              </w:rPr>
            </w:pPr>
          </w:p>
        </w:tc>
        <w:tc>
          <w:tcPr>
            <w:tcW w:w="4327" w:type="dxa"/>
            <w:vAlign w:val="center"/>
          </w:tcPr>
          <w:p>
            <w:pPr>
              <w:widowControl/>
              <w:spacing w:line="276" w:lineRule="auto"/>
              <w:outlineLvl w:val="2"/>
              <w:rPr>
                <w:rFonts w:ascii="宋体" w:hAnsi="宋体" w:cs="宋体"/>
                <w:szCs w:val="21"/>
                <w:highlight w:val="none"/>
              </w:rPr>
            </w:pPr>
            <w:r>
              <w:rPr>
                <w:rFonts w:hint="eastAsia" w:ascii="宋体" w:hAnsi="宋体" w:cs="宋体"/>
                <w:szCs w:val="21"/>
                <w:highlight w:val="none"/>
              </w:rPr>
              <w:t>参竞人提供项目环境改善方案，包含平面功能设计，室内环境改善设计，设施设备规划设计，项目校园文化打造等方面内容</w:t>
            </w:r>
            <w:bookmarkStart w:id="37" w:name="OLE_LINK79"/>
            <w:bookmarkStart w:id="38" w:name="OLE_LINK78"/>
            <w:r>
              <w:rPr>
                <w:rFonts w:hint="eastAsia" w:ascii="宋体" w:hAnsi="宋体" w:cs="宋体"/>
                <w:szCs w:val="21"/>
                <w:highlight w:val="none"/>
              </w:rPr>
              <w:t>，包括不限于以下内容：</w:t>
            </w:r>
            <w:bookmarkEnd w:id="37"/>
            <w:bookmarkEnd w:id="38"/>
          </w:p>
          <w:p>
            <w:pPr>
              <w:widowControl/>
              <w:spacing w:line="276" w:lineRule="auto"/>
              <w:outlineLvl w:val="2"/>
              <w:rPr>
                <w:rFonts w:ascii="宋体" w:hAnsi="宋体" w:cs="宋体"/>
                <w:szCs w:val="21"/>
                <w:highlight w:val="none"/>
              </w:rPr>
            </w:pPr>
            <w:r>
              <w:rPr>
                <w:rFonts w:hint="eastAsia" w:ascii="宋体" w:hAnsi="宋体" w:cs="宋体"/>
                <w:szCs w:val="21"/>
                <w:highlight w:val="none"/>
              </w:rPr>
              <w:t>1.食堂平面区域比例规划合理（参竞人需按照校方提供的食堂规划分区示意图框架内进行具体规划设计），功能完善，设计合理，符合食品安全加工流程；</w:t>
            </w:r>
          </w:p>
          <w:p>
            <w:pPr>
              <w:widowControl/>
              <w:spacing w:line="276" w:lineRule="auto"/>
              <w:outlineLvl w:val="2"/>
              <w:rPr>
                <w:rFonts w:ascii="宋体" w:hAnsi="宋体" w:cs="宋体"/>
                <w:szCs w:val="21"/>
                <w:highlight w:val="none"/>
              </w:rPr>
            </w:pPr>
            <w:r>
              <w:rPr>
                <w:rFonts w:hint="eastAsia" w:ascii="宋体" w:hAnsi="宋体" w:cs="宋体"/>
                <w:szCs w:val="21"/>
                <w:highlight w:val="none"/>
              </w:rPr>
              <w:t>2.环境改善设计方案符合学校校园文化，具有“川外”元素，风格新颖，打造社交休闲空间，环境优雅舒适，设计合理（需提供装修效果图备案）；</w:t>
            </w:r>
          </w:p>
          <w:p>
            <w:pPr>
              <w:spacing w:line="276" w:lineRule="auto"/>
              <w:jc w:val="left"/>
              <w:rPr>
                <w:rFonts w:ascii="宋体" w:hAnsi="宋体" w:cs="宋体"/>
                <w:szCs w:val="21"/>
                <w:highlight w:val="none"/>
              </w:rPr>
            </w:pPr>
            <w:bookmarkStart w:id="39" w:name="OLE_LINK75"/>
            <w:r>
              <w:rPr>
                <w:rFonts w:hint="eastAsia" w:ascii="宋体" w:hAnsi="宋体" w:cs="宋体"/>
                <w:szCs w:val="21"/>
                <w:highlight w:val="none"/>
              </w:rPr>
              <w:t>内容不存在瑕疵，得7分；</w:t>
            </w:r>
          </w:p>
          <w:p>
            <w:pPr>
              <w:spacing w:line="276" w:lineRule="auto"/>
              <w:jc w:val="left"/>
              <w:rPr>
                <w:rFonts w:ascii="宋体" w:hAnsi="宋体" w:cs="宋体"/>
                <w:szCs w:val="21"/>
                <w:highlight w:val="none"/>
              </w:rPr>
            </w:pPr>
            <w:r>
              <w:rPr>
                <w:rFonts w:hint="eastAsia" w:ascii="宋体" w:hAnsi="宋体" w:cs="宋体"/>
                <w:szCs w:val="21"/>
                <w:highlight w:val="none"/>
              </w:rPr>
              <w:t>内容存在1处瑕疵，得5分；</w:t>
            </w:r>
          </w:p>
          <w:p>
            <w:pPr>
              <w:spacing w:line="276" w:lineRule="auto"/>
              <w:jc w:val="left"/>
              <w:rPr>
                <w:rFonts w:ascii="宋体" w:hAnsi="宋体" w:cs="宋体"/>
                <w:szCs w:val="21"/>
                <w:highlight w:val="none"/>
              </w:rPr>
            </w:pPr>
            <w:r>
              <w:rPr>
                <w:rFonts w:hint="eastAsia" w:ascii="宋体" w:hAnsi="宋体" w:cs="宋体"/>
                <w:szCs w:val="21"/>
                <w:highlight w:val="none"/>
              </w:rPr>
              <w:t>内容存在2处瑕疵，得3分；</w:t>
            </w:r>
          </w:p>
          <w:p>
            <w:pPr>
              <w:spacing w:line="276" w:lineRule="auto"/>
              <w:jc w:val="left"/>
              <w:rPr>
                <w:rFonts w:ascii="宋体" w:hAnsi="宋体" w:cs="宋体"/>
                <w:szCs w:val="21"/>
                <w:highlight w:val="none"/>
              </w:rPr>
            </w:pPr>
            <w:r>
              <w:rPr>
                <w:rFonts w:hint="eastAsia" w:ascii="宋体" w:hAnsi="宋体" w:cs="宋体"/>
                <w:szCs w:val="21"/>
                <w:highlight w:val="none"/>
              </w:rPr>
              <w:t>内容存在3处瑕疵，得</w:t>
            </w:r>
            <w:r>
              <w:rPr>
                <w:rFonts w:ascii="宋体" w:hAnsi="宋体" w:cs="宋体"/>
                <w:szCs w:val="21"/>
                <w:highlight w:val="none"/>
              </w:rPr>
              <w:t>1</w:t>
            </w:r>
            <w:r>
              <w:rPr>
                <w:rFonts w:hint="eastAsia" w:ascii="宋体" w:hAnsi="宋体" w:cs="宋体"/>
                <w:szCs w:val="21"/>
                <w:highlight w:val="none"/>
              </w:rPr>
              <w:t>分；</w:t>
            </w:r>
            <w:bookmarkEnd w:id="39"/>
          </w:p>
          <w:p>
            <w:pPr>
              <w:widowControl/>
              <w:spacing w:line="276" w:lineRule="auto"/>
              <w:outlineLvl w:val="2"/>
              <w:rPr>
                <w:rFonts w:ascii="宋体" w:hAnsi="宋体" w:cs="宋体"/>
                <w:szCs w:val="21"/>
                <w:highlight w:val="none"/>
              </w:rPr>
            </w:pPr>
            <w:r>
              <w:rPr>
                <w:rFonts w:hint="eastAsia" w:ascii="宋体" w:hAnsi="宋体" w:cs="宋体"/>
                <w:szCs w:val="21"/>
                <w:highlight w:val="none"/>
              </w:rPr>
              <w:t>内容存在4处及以上瑕疵或未提供方案不得分。</w:t>
            </w:r>
          </w:p>
        </w:tc>
        <w:tc>
          <w:tcPr>
            <w:tcW w:w="2436" w:type="dxa"/>
            <w:vMerge w:val="continue"/>
            <w:vAlign w:val="center"/>
          </w:tcPr>
          <w:p>
            <w:pPr>
              <w:spacing w:line="276"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64" w:type="dxa"/>
            <w:vMerge w:val="continue"/>
            <w:vAlign w:val="center"/>
          </w:tcPr>
          <w:p>
            <w:pPr>
              <w:spacing w:line="276" w:lineRule="auto"/>
              <w:jc w:val="center"/>
              <w:rPr>
                <w:rFonts w:ascii="宋体" w:hAnsi="宋体" w:cs="宋体"/>
                <w:szCs w:val="21"/>
                <w:highlight w:val="none"/>
              </w:rPr>
            </w:pPr>
          </w:p>
        </w:tc>
        <w:tc>
          <w:tcPr>
            <w:tcW w:w="1061" w:type="dxa"/>
            <w:vMerge w:val="continue"/>
            <w:vAlign w:val="center"/>
          </w:tcPr>
          <w:p>
            <w:pPr>
              <w:spacing w:line="276" w:lineRule="auto"/>
              <w:jc w:val="center"/>
              <w:rPr>
                <w:rFonts w:ascii="宋体" w:hAnsi="宋体" w:cs="宋体"/>
                <w:szCs w:val="21"/>
                <w:highlight w:val="none"/>
              </w:rPr>
            </w:pPr>
          </w:p>
        </w:tc>
        <w:tc>
          <w:tcPr>
            <w:tcW w:w="1090" w:type="dxa"/>
            <w:vAlign w:val="center"/>
          </w:tcPr>
          <w:p>
            <w:pPr>
              <w:spacing w:line="276" w:lineRule="auto"/>
              <w:jc w:val="center"/>
              <w:rPr>
                <w:rFonts w:ascii="宋体" w:hAnsi="宋体" w:cs="宋体"/>
                <w:szCs w:val="21"/>
                <w:highlight w:val="none"/>
              </w:rPr>
            </w:pPr>
            <w:r>
              <w:rPr>
                <w:rFonts w:hint="eastAsia" w:ascii="宋体" w:hAnsi="宋体" w:cs="宋体"/>
                <w:szCs w:val="21"/>
                <w:highlight w:val="none"/>
              </w:rPr>
              <w:t>智慧食堂建设方案（</w:t>
            </w:r>
            <w:r>
              <w:rPr>
                <w:rFonts w:ascii="宋体" w:hAnsi="宋体" w:cs="宋体"/>
                <w:szCs w:val="21"/>
                <w:highlight w:val="none"/>
              </w:rPr>
              <w:t>8</w:t>
            </w:r>
            <w:r>
              <w:rPr>
                <w:rFonts w:hint="eastAsia" w:ascii="宋体" w:hAnsi="宋体" w:cs="宋体"/>
                <w:szCs w:val="21"/>
                <w:highlight w:val="none"/>
              </w:rPr>
              <w:t>分）</w:t>
            </w:r>
          </w:p>
        </w:tc>
        <w:tc>
          <w:tcPr>
            <w:tcW w:w="4327" w:type="dxa"/>
            <w:vAlign w:val="center"/>
          </w:tcPr>
          <w:p>
            <w:pPr>
              <w:widowControl/>
              <w:spacing w:line="276" w:lineRule="auto"/>
              <w:outlineLvl w:val="2"/>
              <w:rPr>
                <w:rFonts w:ascii="宋体" w:hAnsi="宋体" w:cs="宋体"/>
                <w:szCs w:val="21"/>
                <w:highlight w:val="none"/>
              </w:rPr>
            </w:pPr>
            <w:r>
              <w:rPr>
                <w:rFonts w:hint="eastAsia" w:ascii="宋体" w:hAnsi="宋体" w:cs="宋体"/>
                <w:szCs w:val="21"/>
                <w:highlight w:val="none"/>
              </w:rPr>
              <w:t>参竞人提供智慧食堂建设方案，包含但不限于“智慧食堂”学校食安指挥中心平台建设方案和食堂智慧化设备与“明厨亮灶”建设方案以及日常运行管理方案等。</w:t>
            </w:r>
          </w:p>
          <w:p>
            <w:pPr>
              <w:widowControl/>
              <w:spacing w:line="276" w:lineRule="auto"/>
              <w:outlineLvl w:val="2"/>
              <w:rPr>
                <w:rFonts w:ascii="宋体" w:hAnsi="宋体" w:cs="宋体"/>
                <w:szCs w:val="21"/>
                <w:highlight w:val="none"/>
              </w:rPr>
            </w:pPr>
            <w:r>
              <w:rPr>
                <w:rFonts w:hint="eastAsia" w:ascii="宋体" w:hAnsi="宋体" w:cs="宋体"/>
                <w:szCs w:val="21"/>
                <w:highlight w:val="none"/>
              </w:rPr>
              <w:t>软件硬件方案占5分，运行管理方案占3分，</w:t>
            </w:r>
          </w:p>
          <w:p>
            <w:pPr>
              <w:spacing w:line="276" w:lineRule="auto"/>
              <w:jc w:val="left"/>
              <w:rPr>
                <w:rFonts w:ascii="宋体" w:hAnsi="宋体" w:cs="宋体"/>
                <w:szCs w:val="21"/>
                <w:highlight w:val="none"/>
              </w:rPr>
            </w:pPr>
            <w:r>
              <w:rPr>
                <w:rFonts w:hint="eastAsia" w:ascii="宋体" w:hAnsi="宋体" w:cs="宋体"/>
                <w:szCs w:val="21"/>
                <w:highlight w:val="none"/>
              </w:rPr>
              <w:t>内容不存在瑕疵，得8分；</w:t>
            </w:r>
          </w:p>
          <w:p>
            <w:pPr>
              <w:spacing w:line="276" w:lineRule="auto"/>
              <w:jc w:val="left"/>
              <w:rPr>
                <w:rFonts w:ascii="宋体" w:hAnsi="宋体" w:cs="宋体"/>
                <w:szCs w:val="21"/>
                <w:highlight w:val="none"/>
              </w:rPr>
            </w:pPr>
            <w:r>
              <w:rPr>
                <w:rFonts w:hint="eastAsia" w:ascii="宋体" w:hAnsi="宋体" w:cs="宋体"/>
                <w:szCs w:val="21"/>
                <w:highlight w:val="none"/>
              </w:rPr>
              <w:t>内容存在1处瑕疵，得6分；</w:t>
            </w:r>
          </w:p>
          <w:p>
            <w:pPr>
              <w:spacing w:line="276" w:lineRule="auto"/>
              <w:jc w:val="left"/>
              <w:rPr>
                <w:rFonts w:ascii="宋体" w:hAnsi="宋体" w:cs="宋体"/>
                <w:szCs w:val="21"/>
                <w:highlight w:val="none"/>
              </w:rPr>
            </w:pPr>
            <w:r>
              <w:rPr>
                <w:rFonts w:hint="eastAsia" w:ascii="宋体" w:hAnsi="宋体" w:cs="宋体"/>
                <w:szCs w:val="21"/>
                <w:highlight w:val="none"/>
              </w:rPr>
              <w:t>内容存在2处瑕疵，得4分；</w:t>
            </w:r>
          </w:p>
          <w:p>
            <w:pPr>
              <w:spacing w:line="276" w:lineRule="auto"/>
              <w:jc w:val="left"/>
              <w:rPr>
                <w:rFonts w:ascii="宋体" w:hAnsi="宋体" w:cs="宋体"/>
                <w:szCs w:val="21"/>
                <w:highlight w:val="none"/>
              </w:rPr>
            </w:pPr>
            <w:r>
              <w:rPr>
                <w:rFonts w:hint="eastAsia" w:ascii="宋体" w:hAnsi="宋体" w:cs="宋体"/>
                <w:szCs w:val="21"/>
                <w:highlight w:val="none"/>
              </w:rPr>
              <w:t>内容存在3处瑕疵，得2分；</w:t>
            </w:r>
          </w:p>
          <w:p>
            <w:pPr>
              <w:widowControl/>
              <w:spacing w:line="276" w:lineRule="auto"/>
              <w:outlineLvl w:val="2"/>
              <w:rPr>
                <w:rFonts w:ascii="宋体" w:hAnsi="宋体" w:cs="宋体"/>
                <w:szCs w:val="21"/>
                <w:highlight w:val="none"/>
              </w:rPr>
            </w:pPr>
            <w:r>
              <w:rPr>
                <w:rFonts w:hint="eastAsia" w:ascii="宋体" w:hAnsi="宋体" w:cs="宋体"/>
                <w:szCs w:val="21"/>
                <w:highlight w:val="none"/>
              </w:rPr>
              <w:t>内容存在4处及以上瑕疵或未提供方案不得分。</w:t>
            </w:r>
          </w:p>
        </w:tc>
        <w:tc>
          <w:tcPr>
            <w:tcW w:w="2436" w:type="dxa"/>
            <w:vMerge w:val="continue"/>
            <w:vAlign w:val="center"/>
          </w:tcPr>
          <w:p>
            <w:pPr>
              <w:spacing w:line="276"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564" w:type="dxa"/>
            <w:vMerge w:val="continue"/>
            <w:vAlign w:val="center"/>
          </w:tcPr>
          <w:p>
            <w:pPr>
              <w:spacing w:line="276" w:lineRule="auto"/>
              <w:jc w:val="center"/>
              <w:rPr>
                <w:rFonts w:ascii="宋体" w:hAnsi="宋体" w:cs="宋体"/>
                <w:szCs w:val="21"/>
                <w:highlight w:val="none"/>
              </w:rPr>
            </w:pPr>
          </w:p>
        </w:tc>
        <w:tc>
          <w:tcPr>
            <w:tcW w:w="1061" w:type="dxa"/>
            <w:vMerge w:val="continue"/>
            <w:vAlign w:val="center"/>
          </w:tcPr>
          <w:p>
            <w:pPr>
              <w:spacing w:line="276" w:lineRule="auto"/>
              <w:jc w:val="center"/>
              <w:rPr>
                <w:rFonts w:ascii="宋体" w:hAnsi="宋体" w:cs="宋体"/>
                <w:szCs w:val="21"/>
                <w:highlight w:val="none"/>
              </w:rPr>
            </w:pPr>
          </w:p>
        </w:tc>
        <w:tc>
          <w:tcPr>
            <w:tcW w:w="1090" w:type="dxa"/>
            <w:vAlign w:val="center"/>
          </w:tcPr>
          <w:p>
            <w:pPr>
              <w:spacing w:line="276" w:lineRule="auto"/>
              <w:jc w:val="center"/>
              <w:rPr>
                <w:rFonts w:ascii="宋体" w:hAnsi="宋体" w:cs="宋体"/>
                <w:kern w:val="0"/>
                <w:szCs w:val="21"/>
                <w:highlight w:val="none"/>
              </w:rPr>
            </w:pPr>
            <w:r>
              <w:rPr>
                <w:rFonts w:hint="eastAsia" w:ascii="宋体" w:hAnsi="宋体" w:cs="宋体"/>
                <w:kern w:val="0"/>
                <w:szCs w:val="21"/>
                <w:highlight w:val="none"/>
              </w:rPr>
              <w:t>设施设备投入方案</w:t>
            </w:r>
          </w:p>
          <w:p>
            <w:pPr>
              <w:spacing w:line="276" w:lineRule="auto"/>
              <w:jc w:val="center"/>
              <w:rPr>
                <w:rFonts w:ascii="宋体" w:hAnsi="宋体" w:cs="宋体"/>
                <w:szCs w:val="21"/>
                <w:highlight w:val="none"/>
              </w:rPr>
            </w:pPr>
            <w:r>
              <w:rPr>
                <w:rFonts w:hint="eastAsia" w:ascii="宋体" w:hAnsi="宋体" w:cs="宋体"/>
                <w:kern w:val="0"/>
                <w:szCs w:val="21"/>
                <w:highlight w:val="none"/>
              </w:rPr>
              <w:t>（7分）</w:t>
            </w:r>
          </w:p>
        </w:tc>
        <w:tc>
          <w:tcPr>
            <w:tcW w:w="4327" w:type="dxa"/>
          </w:tcPr>
          <w:p>
            <w:pPr>
              <w:widowControl/>
              <w:spacing w:line="276" w:lineRule="auto"/>
              <w:outlineLvl w:val="2"/>
              <w:rPr>
                <w:rFonts w:ascii="宋体" w:hAnsi="宋体" w:cs="宋体"/>
                <w:kern w:val="0"/>
                <w:szCs w:val="21"/>
                <w:highlight w:val="none"/>
              </w:rPr>
            </w:pPr>
            <w:r>
              <w:rPr>
                <w:rFonts w:hint="eastAsia" w:ascii="宋体" w:hAnsi="宋体" w:cs="宋体"/>
                <w:szCs w:val="21"/>
                <w:highlight w:val="none"/>
              </w:rPr>
              <w:t>方案应满足食品卫生、消防和环保等要求，施工和安装单位具有相应资质，设备厂商需为市场主流供应商。参竞人</w:t>
            </w:r>
            <w:r>
              <w:rPr>
                <w:rFonts w:hint="eastAsia" w:ascii="宋体" w:hAnsi="宋体" w:cs="宋体"/>
                <w:kern w:val="0"/>
                <w:szCs w:val="21"/>
                <w:highlight w:val="none"/>
              </w:rPr>
              <w:t>提供包含但不限于以下方案，清单至少包含家具、设备明细、单价、总价：</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1.空调系统方案及清单；</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2.后厨抽排系统方案及清单；</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3.后厨设备方案及设备清单；</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4.视频监控清单及点位图（食堂各主要入口、加工区、就餐区、备餐区等重点区域必须安装监控摄像头）；</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5.餐桌椅及家具投入方案及设施清单；</w:t>
            </w:r>
          </w:p>
          <w:p>
            <w:pPr>
              <w:spacing w:line="276" w:lineRule="auto"/>
              <w:jc w:val="left"/>
              <w:rPr>
                <w:rFonts w:ascii="宋体" w:hAnsi="宋体" w:cs="宋体"/>
                <w:szCs w:val="21"/>
                <w:highlight w:val="none"/>
              </w:rPr>
            </w:pPr>
            <w:r>
              <w:rPr>
                <w:rFonts w:hint="eastAsia" w:ascii="宋体" w:hAnsi="宋体" w:cs="宋体"/>
                <w:kern w:val="0"/>
                <w:szCs w:val="21"/>
                <w:highlight w:val="none"/>
              </w:rPr>
              <w:t>6.消防</w:t>
            </w:r>
            <w:r>
              <w:rPr>
                <w:rFonts w:hint="eastAsia" w:ascii="宋体" w:hAnsi="宋体" w:cs="宋体"/>
                <w:szCs w:val="21"/>
                <w:highlight w:val="none"/>
              </w:rPr>
              <w:t>系统设备建设清单；</w:t>
            </w:r>
          </w:p>
          <w:p>
            <w:pPr>
              <w:spacing w:line="276" w:lineRule="auto"/>
              <w:jc w:val="left"/>
              <w:rPr>
                <w:rFonts w:ascii="宋体" w:hAnsi="宋体" w:cs="宋体"/>
                <w:szCs w:val="21"/>
                <w:highlight w:val="none"/>
              </w:rPr>
            </w:pPr>
            <w:r>
              <w:rPr>
                <w:rFonts w:hint="eastAsia" w:ascii="宋体" w:hAnsi="宋体" w:cs="宋体"/>
                <w:szCs w:val="21"/>
                <w:highlight w:val="none"/>
              </w:rPr>
              <w:t>7.就餐区餐桌椅应符合国家有关家具标准，并检验合格。</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根据四川外国语大学东校区学生食堂联合经营项目文件的需求和响应情况及投入费用合理性等进行综合评判。</w:t>
            </w:r>
          </w:p>
          <w:p>
            <w:pPr>
              <w:spacing w:line="276" w:lineRule="auto"/>
              <w:jc w:val="left"/>
              <w:rPr>
                <w:rFonts w:ascii="宋体" w:hAnsi="宋体" w:cs="宋体"/>
                <w:szCs w:val="21"/>
                <w:highlight w:val="none"/>
              </w:rPr>
            </w:pPr>
            <w:bookmarkStart w:id="40" w:name="OLE_LINK89"/>
            <w:bookmarkStart w:id="41" w:name="OLE_LINK88"/>
            <w:r>
              <w:rPr>
                <w:rFonts w:hint="eastAsia" w:ascii="宋体" w:hAnsi="宋体" w:cs="宋体"/>
                <w:szCs w:val="21"/>
                <w:highlight w:val="none"/>
              </w:rPr>
              <w:t>内容不存在瑕疵，得7分；</w:t>
            </w:r>
          </w:p>
          <w:p>
            <w:pPr>
              <w:spacing w:line="276" w:lineRule="auto"/>
              <w:jc w:val="left"/>
              <w:rPr>
                <w:rFonts w:ascii="宋体" w:hAnsi="宋体" w:cs="宋体"/>
                <w:szCs w:val="21"/>
                <w:highlight w:val="none"/>
              </w:rPr>
            </w:pPr>
            <w:r>
              <w:rPr>
                <w:rFonts w:hint="eastAsia" w:ascii="宋体" w:hAnsi="宋体" w:cs="宋体"/>
                <w:szCs w:val="21"/>
                <w:highlight w:val="none"/>
              </w:rPr>
              <w:t>内容存在1处瑕疵，得5分；</w:t>
            </w:r>
          </w:p>
          <w:p>
            <w:pPr>
              <w:spacing w:line="276" w:lineRule="auto"/>
              <w:jc w:val="left"/>
              <w:rPr>
                <w:rFonts w:ascii="宋体" w:hAnsi="宋体" w:cs="宋体"/>
                <w:szCs w:val="21"/>
                <w:highlight w:val="none"/>
              </w:rPr>
            </w:pPr>
            <w:r>
              <w:rPr>
                <w:rFonts w:hint="eastAsia" w:ascii="宋体" w:hAnsi="宋体" w:cs="宋体"/>
                <w:szCs w:val="21"/>
                <w:highlight w:val="none"/>
              </w:rPr>
              <w:t>内容存在2处瑕疵，得3分；</w:t>
            </w:r>
          </w:p>
          <w:p>
            <w:pPr>
              <w:spacing w:line="276" w:lineRule="auto"/>
              <w:jc w:val="left"/>
              <w:rPr>
                <w:rFonts w:ascii="宋体" w:hAnsi="宋体" w:cs="宋体"/>
                <w:szCs w:val="21"/>
                <w:highlight w:val="none"/>
              </w:rPr>
            </w:pPr>
            <w:r>
              <w:rPr>
                <w:rFonts w:hint="eastAsia" w:ascii="宋体" w:hAnsi="宋体" w:cs="宋体"/>
                <w:szCs w:val="21"/>
                <w:highlight w:val="none"/>
              </w:rPr>
              <w:t>内容存在3处瑕疵，得2分；</w:t>
            </w:r>
          </w:p>
          <w:p>
            <w:pPr>
              <w:spacing w:line="276" w:lineRule="auto"/>
              <w:jc w:val="left"/>
              <w:rPr>
                <w:rFonts w:ascii="宋体" w:hAnsi="宋体" w:cs="宋体"/>
                <w:szCs w:val="21"/>
                <w:highlight w:val="none"/>
              </w:rPr>
            </w:pPr>
            <w:r>
              <w:rPr>
                <w:rFonts w:hint="eastAsia" w:ascii="宋体" w:hAnsi="宋体" w:cs="宋体"/>
                <w:szCs w:val="21"/>
                <w:highlight w:val="none"/>
              </w:rPr>
              <w:t>内容存在4处及以上瑕疵或未提供方案不得分。</w:t>
            </w:r>
            <w:bookmarkEnd w:id="40"/>
            <w:bookmarkEnd w:id="41"/>
          </w:p>
        </w:tc>
        <w:tc>
          <w:tcPr>
            <w:tcW w:w="2436" w:type="dxa"/>
            <w:vMerge w:val="continue"/>
          </w:tcPr>
          <w:p>
            <w:pPr>
              <w:spacing w:line="276" w:lineRule="auto"/>
              <w:jc w:val="left"/>
              <w:rPr>
                <w:rFonts w:ascii="宋体" w:hAnsi="宋体" w:cs="宋体"/>
                <w:szCs w:val="21"/>
                <w:highlight w:val="none"/>
              </w:rPr>
            </w:pPr>
          </w:p>
        </w:tc>
      </w:tr>
      <w:bookmark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564" w:type="dxa"/>
            <w:vMerge w:val="continue"/>
            <w:vAlign w:val="center"/>
          </w:tcPr>
          <w:p>
            <w:pPr>
              <w:spacing w:line="276" w:lineRule="auto"/>
              <w:jc w:val="center"/>
              <w:rPr>
                <w:rFonts w:ascii="宋体" w:hAnsi="宋体" w:cs="宋体"/>
                <w:szCs w:val="21"/>
                <w:highlight w:val="none"/>
              </w:rPr>
            </w:pPr>
          </w:p>
        </w:tc>
        <w:tc>
          <w:tcPr>
            <w:tcW w:w="1061" w:type="dxa"/>
            <w:vMerge w:val="continue"/>
            <w:vAlign w:val="center"/>
          </w:tcPr>
          <w:p>
            <w:pPr>
              <w:spacing w:line="276" w:lineRule="auto"/>
              <w:jc w:val="center"/>
              <w:rPr>
                <w:rFonts w:ascii="宋体" w:hAnsi="宋体" w:cs="宋体"/>
                <w:szCs w:val="21"/>
                <w:highlight w:val="none"/>
              </w:rPr>
            </w:pPr>
          </w:p>
        </w:tc>
        <w:tc>
          <w:tcPr>
            <w:tcW w:w="1090" w:type="dxa"/>
            <w:vAlign w:val="center"/>
          </w:tcPr>
          <w:p>
            <w:pPr>
              <w:spacing w:line="276" w:lineRule="auto"/>
              <w:jc w:val="center"/>
              <w:rPr>
                <w:rFonts w:ascii="宋体" w:hAnsi="宋体" w:cs="宋体"/>
                <w:kern w:val="0"/>
                <w:szCs w:val="21"/>
                <w:highlight w:val="none"/>
              </w:rPr>
            </w:pPr>
            <w:r>
              <w:rPr>
                <w:rFonts w:hint="eastAsia" w:ascii="宋体" w:hAnsi="宋体" w:cs="宋体"/>
                <w:kern w:val="0"/>
                <w:szCs w:val="21"/>
                <w:highlight w:val="none"/>
              </w:rPr>
              <w:t>保障力</w:t>
            </w:r>
          </w:p>
          <w:p>
            <w:pPr>
              <w:spacing w:line="276" w:lineRule="auto"/>
              <w:jc w:val="center"/>
              <w:rPr>
                <w:rFonts w:ascii="宋体" w:hAnsi="宋体" w:cs="宋体"/>
                <w:kern w:val="0"/>
                <w:szCs w:val="21"/>
                <w:highlight w:val="none"/>
              </w:rPr>
            </w:pPr>
            <w:r>
              <w:rPr>
                <w:rFonts w:hint="eastAsia" w:ascii="宋体" w:hAnsi="宋体" w:cs="宋体"/>
                <w:kern w:val="0"/>
                <w:szCs w:val="21"/>
                <w:highlight w:val="none"/>
              </w:rPr>
              <w:t>（2分）</w:t>
            </w:r>
          </w:p>
        </w:tc>
        <w:tc>
          <w:tcPr>
            <w:tcW w:w="4327" w:type="dxa"/>
            <w:vAlign w:val="center"/>
          </w:tcPr>
          <w:p>
            <w:pPr>
              <w:spacing w:line="276" w:lineRule="auto"/>
              <w:jc w:val="left"/>
              <w:rPr>
                <w:highlight w:val="none"/>
              </w:rPr>
            </w:pPr>
            <w:r>
              <w:rPr>
                <w:rFonts w:hint="eastAsia" w:ascii="宋体" w:hAnsi="宋体" w:cs="宋体"/>
                <w:szCs w:val="21"/>
                <w:highlight w:val="none"/>
              </w:rPr>
              <w:t>参竞人出具承诺函，承诺内容为：成交后为所投分包购买食品安全责任保险和公众责任保险。被保险人为校方，每个险种的保险额度大于等于500万元/人/包，保险费用由参竞人承担。按以上要求提供承诺函的，得2分，未提供或未按要求提供承诺函的，不得分。</w:t>
            </w:r>
          </w:p>
        </w:tc>
        <w:tc>
          <w:tcPr>
            <w:tcW w:w="2436" w:type="dxa"/>
            <w:vAlign w:val="center"/>
          </w:tcPr>
          <w:p>
            <w:pPr>
              <w:spacing w:line="276" w:lineRule="auto"/>
              <w:jc w:val="left"/>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提供承诺函</w:t>
            </w:r>
            <w:r>
              <w:rPr>
                <w:rFonts w:hint="eastAsia" w:ascii="宋体" w:hAnsi="宋体" w:cs="宋体"/>
                <w:szCs w:val="21"/>
                <w:highlight w:val="none"/>
              </w:rPr>
              <w:t>，</w:t>
            </w:r>
            <w:r>
              <w:rPr>
                <w:rFonts w:ascii="宋体" w:hAnsi="宋体" w:cs="宋体"/>
                <w:szCs w:val="21"/>
                <w:highlight w:val="none"/>
              </w:rPr>
              <w:t>加盖</w:t>
            </w:r>
            <w:r>
              <w:rPr>
                <w:rFonts w:hint="eastAsia" w:ascii="宋体" w:hAnsi="宋体" w:cs="宋体"/>
                <w:szCs w:val="21"/>
                <w:highlight w:val="none"/>
              </w:rPr>
              <w:t>参竞</w:t>
            </w:r>
            <w:r>
              <w:rPr>
                <w:rFonts w:ascii="宋体" w:hAnsi="宋体" w:cs="宋体"/>
                <w:szCs w:val="21"/>
                <w:highlight w:val="none"/>
              </w:rPr>
              <w:t>人公章</w:t>
            </w:r>
            <w:r>
              <w:rPr>
                <w:rFonts w:hint="eastAsia" w:ascii="宋体" w:hAnsi="宋体" w:cs="宋体"/>
                <w:szCs w:val="21"/>
                <w:highlight w:val="none"/>
              </w:rPr>
              <w:t>。</w:t>
            </w:r>
          </w:p>
          <w:p>
            <w:pPr>
              <w:spacing w:line="276" w:lineRule="auto"/>
              <w:jc w:val="left"/>
              <w:rPr>
                <w:rFonts w:ascii="宋体" w:hAnsi="宋体" w:cs="宋体"/>
                <w:szCs w:val="21"/>
                <w:highlight w:val="none"/>
              </w:rPr>
            </w:pPr>
            <w:r>
              <w:rPr>
                <w:rFonts w:hint="eastAsia" w:ascii="宋体" w:hAnsi="宋体" w:cs="宋体"/>
                <w:szCs w:val="21"/>
                <w:highlight w:val="none"/>
              </w:rPr>
              <w:t>2.签订合同前，参竞人应提供符合项目文件要求的保险单及发票复印件并加盖参竞人公章，否则承担虚假参竞的全部法律责任。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564" w:type="dxa"/>
            <w:vMerge w:val="continue"/>
            <w:vAlign w:val="center"/>
          </w:tcPr>
          <w:p>
            <w:pPr>
              <w:spacing w:line="276" w:lineRule="auto"/>
              <w:jc w:val="center"/>
              <w:rPr>
                <w:rFonts w:ascii="宋体" w:hAnsi="宋体" w:cs="宋体"/>
                <w:szCs w:val="21"/>
                <w:highlight w:val="none"/>
              </w:rPr>
            </w:pPr>
          </w:p>
        </w:tc>
        <w:tc>
          <w:tcPr>
            <w:tcW w:w="1061" w:type="dxa"/>
            <w:vMerge w:val="continue"/>
            <w:vAlign w:val="center"/>
          </w:tcPr>
          <w:p>
            <w:pPr>
              <w:spacing w:line="276" w:lineRule="auto"/>
              <w:jc w:val="center"/>
              <w:rPr>
                <w:rFonts w:ascii="宋体" w:hAnsi="宋体" w:cs="宋体"/>
                <w:szCs w:val="21"/>
                <w:highlight w:val="none"/>
              </w:rPr>
            </w:pPr>
          </w:p>
        </w:tc>
        <w:tc>
          <w:tcPr>
            <w:tcW w:w="1090" w:type="dxa"/>
            <w:vAlign w:val="center"/>
          </w:tcPr>
          <w:p>
            <w:pPr>
              <w:spacing w:line="276" w:lineRule="auto"/>
              <w:jc w:val="center"/>
              <w:rPr>
                <w:rFonts w:ascii="宋体" w:hAnsi="宋体" w:cs="宋体"/>
                <w:kern w:val="0"/>
                <w:szCs w:val="21"/>
                <w:highlight w:val="none"/>
              </w:rPr>
            </w:pPr>
            <w:r>
              <w:rPr>
                <w:rFonts w:hint="eastAsia" w:ascii="宋体" w:hAnsi="宋体" w:cs="宋体"/>
                <w:kern w:val="0"/>
                <w:szCs w:val="21"/>
                <w:highlight w:val="none"/>
              </w:rPr>
              <w:t>项目管理机构及团队配备方案</w:t>
            </w:r>
          </w:p>
          <w:p>
            <w:pPr>
              <w:spacing w:line="276" w:lineRule="auto"/>
              <w:jc w:val="center"/>
              <w:rPr>
                <w:rFonts w:ascii="宋体" w:hAnsi="宋体" w:cs="宋体"/>
                <w:szCs w:val="21"/>
                <w:highlight w:val="none"/>
              </w:rPr>
            </w:pPr>
            <w:r>
              <w:rPr>
                <w:rFonts w:hint="eastAsia" w:ascii="宋体" w:hAnsi="宋体" w:cs="宋体"/>
                <w:kern w:val="0"/>
                <w:szCs w:val="21"/>
                <w:highlight w:val="none"/>
              </w:rPr>
              <w:t>（</w:t>
            </w:r>
            <w:r>
              <w:rPr>
                <w:rFonts w:ascii="宋体" w:hAnsi="宋体" w:cs="宋体"/>
                <w:kern w:val="0"/>
                <w:szCs w:val="21"/>
                <w:highlight w:val="none"/>
              </w:rPr>
              <w:t>8</w:t>
            </w:r>
            <w:r>
              <w:rPr>
                <w:rFonts w:hint="eastAsia" w:ascii="宋体" w:hAnsi="宋体" w:cs="宋体"/>
                <w:kern w:val="0"/>
                <w:szCs w:val="21"/>
                <w:highlight w:val="none"/>
              </w:rPr>
              <w:t>分）</w:t>
            </w:r>
          </w:p>
        </w:tc>
        <w:tc>
          <w:tcPr>
            <w:tcW w:w="4327" w:type="dxa"/>
            <w:vAlign w:val="center"/>
          </w:tcPr>
          <w:p>
            <w:pPr>
              <w:spacing w:line="276" w:lineRule="auto"/>
              <w:jc w:val="left"/>
              <w:rPr>
                <w:rFonts w:ascii="宋体" w:hAnsi="宋体" w:cs="宋体"/>
                <w:kern w:val="0"/>
                <w:szCs w:val="21"/>
                <w:highlight w:val="none"/>
              </w:rPr>
            </w:pPr>
            <w:r>
              <w:rPr>
                <w:rFonts w:ascii="宋体" w:hAnsi="宋体" w:cs="宋体"/>
                <w:kern w:val="0"/>
                <w:szCs w:val="21"/>
                <w:highlight w:val="none"/>
              </w:rPr>
              <w:t>1.管理服务机构设置方案（1.5分）</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对管理机构设置方案的科学合理性、适用可行性、人员配置充足等情况进行评审。方案中需提供人员配置表。方案具有高度的科学性、合理性和可行性得</w:t>
            </w:r>
            <w:r>
              <w:rPr>
                <w:rFonts w:ascii="宋体" w:hAnsi="宋体" w:cs="宋体"/>
                <w:kern w:val="0"/>
                <w:szCs w:val="21"/>
                <w:highlight w:val="none"/>
              </w:rPr>
              <w:t>1.5分；方案具有较高的科学性、合理性和可行性得1分；方案的科学性、合理性和可行性一般，无明显错漏，得0.5分；方案的科学性、合理性和可行性存在明显错漏得0分。</w:t>
            </w:r>
          </w:p>
          <w:p>
            <w:pPr>
              <w:spacing w:line="276" w:lineRule="auto"/>
              <w:jc w:val="left"/>
              <w:rPr>
                <w:rFonts w:ascii="宋体" w:hAnsi="宋体" w:cs="宋体"/>
                <w:kern w:val="0"/>
                <w:szCs w:val="21"/>
                <w:highlight w:val="none"/>
              </w:rPr>
            </w:pPr>
            <w:r>
              <w:rPr>
                <w:rFonts w:ascii="宋体" w:hAnsi="宋体" w:cs="宋体"/>
                <w:kern w:val="0"/>
                <w:szCs w:val="21"/>
                <w:highlight w:val="none"/>
              </w:rPr>
              <w:t>2.管理团队骨干配备（6.5分）</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1）项目负责人具有大专以上学历且高校类似项目六年及以上餐饮管理与服务经验（提供服务单位证明）得2分；具有高中以上学历且高校类似项目三年以上餐饮管理与服务经验（提供服务单位证明）得1分。本项最高得2分。</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2）本项目配备持有市场监督管理部门颁发的食品安全总监证书人员得1分，食品安全管理员证书人员得0.5分。本项最高得1.5分。</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3）主管财务持有助理会计师以上职称得 0.5分。</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4）本项目配备具有高级（国家职业资格三级及以上）厨师证书的厨师不少于1名，每名得1分；持有中级厨师证书的厨师0.5分/名；本项最多得2分。不配备具有高级（国家职业资格三级及以上）厨师证书的厨师，本项得0分。</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5）本项目配备一名持有营养师资格证的营养师得0.5分；不配备具有营养师资格证的得0分。</w:t>
            </w:r>
          </w:p>
          <w:p>
            <w:pPr>
              <w:spacing w:line="276" w:lineRule="auto"/>
              <w:jc w:val="left"/>
              <w:rPr>
                <w:rFonts w:ascii="宋体" w:hAnsi="宋体" w:cs="宋体"/>
                <w:szCs w:val="21"/>
                <w:highlight w:val="none"/>
              </w:rPr>
            </w:pPr>
            <w:r>
              <w:rPr>
                <w:rFonts w:hint="eastAsia" w:ascii="宋体" w:hAnsi="宋体" w:cs="宋体"/>
                <w:kern w:val="0"/>
                <w:szCs w:val="21"/>
                <w:highlight w:val="none"/>
              </w:rPr>
              <w:t>注：团队人员在项目实施期间未经校方同意不得更换，否则将承担违约责任。</w:t>
            </w:r>
          </w:p>
        </w:tc>
        <w:tc>
          <w:tcPr>
            <w:tcW w:w="2436" w:type="dxa"/>
            <w:vAlign w:val="center"/>
          </w:tcPr>
          <w:p>
            <w:pPr>
              <w:spacing w:line="276" w:lineRule="auto"/>
              <w:jc w:val="left"/>
              <w:rPr>
                <w:rFonts w:ascii="宋体" w:hAnsi="宋体" w:cs="宋体"/>
                <w:kern w:val="0"/>
                <w:szCs w:val="21"/>
                <w:highlight w:val="none"/>
              </w:rPr>
            </w:pPr>
            <w:r>
              <w:rPr>
                <w:rFonts w:hint="eastAsia" w:ascii="宋体" w:hAnsi="宋体" w:cs="宋体"/>
                <w:kern w:val="0"/>
                <w:szCs w:val="21"/>
                <w:highlight w:val="none"/>
              </w:rPr>
              <w:t>1.第1项提供服务单位对工作经验的证明文件的盖章复印件。</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2.第2项提供有效的技能证书复印件。</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3.提供第1、2项人员与参竞人签订的有效的劳动合同复印件，并提供2024年10月以来连续3个月由参竞人为其缴纳社保证明材料。</w:t>
            </w:r>
          </w:p>
          <w:p>
            <w:pPr>
              <w:spacing w:line="276" w:lineRule="auto"/>
              <w:jc w:val="left"/>
              <w:rPr>
                <w:rFonts w:ascii="宋体" w:hAnsi="宋体" w:cs="宋体"/>
                <w:szCs w:val="21"/>
                <w:highlight w:val="none"/>
              </w:rPr>
            </w:pPr>
            <w:r>
              <w:rPr>
                <w:rFonts w:hint="eastAsia" w:ascii="宋体" w:hAnsi="宋体" w:cs="宋体"/>
                <w:kern w:val="0"/>
                <w:szCs w:val="21"/>
                <w:highlight w:val="none"/>
              </w:rPr>
              <w:t>4.以上证明材料未提供或提供不完整，不得分。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6" w:hRule="atLeast"/>
          <w:jc w:val="center"/>
        </w:trPr>
        <w:tc>
          <w:tcPr>
            <w:tcW w:w="564" w:type="dxa"/>
            <w:vMerge w:val="restart"/>
            <w:vAlign w:val="center"/>
          </w:tcPr>
          <w:p>
            <w:pPr>
              <w:spacing w:line="276" w:lineRule="auto"/>
              <w:jc w:val="center"/>
              <w:rPr>
                <w:rFonts w:ascii="宋体" w:hAnsi="宋体" w:cs="宋体"/>
                <w:szCs w:val="21"/>
                <w:highlight w:val="none"/>
              </w:rPr>
            </w:pPr>
            <w:r>
              <w:rPr>
                <w:rFonts w:hint="eastAsia" w:ascii="宋体" w:hAnsi="宋体" w:cs="宋体"/>
                <w:szCs w:val="21"/>
                <w:highlight w:val="none"/>
              </w:rPr>
              <w:t>3</w:t>
            </w:r>
          </w:p>
        </w:tc>
        <w:tc>
          <w:tcPr>
            <w:tcW w:w="1061" w:type="dxa"/>
            <w:vMerge w:val="restart"/>
            <w:vAlign w:val="center"/>
          </w:tcPr>
          <w:p>
            <w:pPr>
              <w:spacing w:line="276" w:lineRule="auto"/>
              <w:jc w:val="center"/>
              <w:rPr>
                <w:rFonts w:ascii="宋体" w:hAnsi="宋体" w:cs="宋体"/>
                <w:szCs w:val="21"/>
                <w:highlight w:val="none"/>
              </w:rPr>
            </w:pPr>
            <w:r>
              <w:rPr>
                <w:rFonts w:hint="eastAsia" w:ascii="宋体" w:hAnsi="宋体" w:cs="宋体"/>
                <w:szCs w:val="21"/>
                <w:highlight w:val="none"/>
              </w:rPr>
              <w:t>商务部分（20%）</w:t>
            </w:r>
          </w:p>
        </w:tc>
        <w:tc>
          <w:tcPr>
            <w:tcW w:w="1090" w:type="dxa"/>
            <w:vAlign w:val="center"/>
          </w:tcPr>
          <w:p>
            <w:pPr>
              <w:spacing w:line="276" w:lineRule="auto"/>
              <w:jc w:val="center"/>
              <w:rPr>
                <w:rFonts w:ascii="宋体" w:hAnsi="宋体" w:cs="宋体"/>
                <w:szCs w:val="21"/>
                <w:highlight w:val="none"/>
              </w:rPr>
            </w:pPr>
            <w:r>
              <w:rPr>
                <w:rFonts w:hint="eastAsia" w:ascii="宋体" w:hAnsi="宋体" w:cs="宋体"/>
                <w:szCs w:val="21"/>
                <w:highlight w:val="none"/>
              </w:rPr>
              <w:t>业绩</w:t>
            </w:r>
          </w:p>
          <w:p>
            <w:pPr>
              <w:spacing w:line="276" w:lineRule="auto"/>
              <w:jc w:val="center"/>
              <w:rPr>
                <w:rFonts w:ascii="宋体" w:hAnsi="宋体" w:cs="宋体"/>
                <w:kern w:val="0"/>
                <w:szCs w:val="21"/>
                <w:highlight w:val="none"/>
              </w:rPr>
            </w:pP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分）</w:t>
            </w:r>
          </w:p>
        </w:tc>
        <w:tc>
          <w:tcPr>
            <w:tcW w:w="4327" w:type="dxa"/>
            <w:vAlign w:val="center"/>
          </w:tcPr>
          <w:p>
            <w:pPr>
              <w:spacing w:line="276" w:lineRule="auto"/>
              <w:jc w:val="left"/>
              <w:rPr>
                <w:rFonts w:ascii="宋体" w:hAnsi="宋体" w:cs="宋体"/>
                <w:szCs w:val="21"/>
                <w:highlight w:val="none"/>
              </w:rPr>
            </w:pPr>
            <w:r>
              <w:rPr>
                <w:rFonts w:hint="eastAsia" w:ascii="宋体" w:hAnsi="宋体" w:cs="宋体"/>
                <w:szCs w:val="21"/>
                <w:highlight w:val="none"/>
              </w:rPr>
              <w:t>在满足特定资格条件基础上，2020年1月1日至2</w:t>
            </w:r>
            <w:r>
              <w:rPr>
                <w:rFonts w:ascii="宋体" w:hAnsi="宋体" w:cs="宋体"/>
                <w:szCs w:val="21"/>
                <w:highlight w:val="none"/>
              </w:rPr>
              <w:t>025</w:t>
            </w:r>
            <w:r>
              <w:rPr>
                <w:rFonts w:hint="eastAsia" w:ascii="宋体" w:hAnsi="宋体" w:cs="宋体"/>
                <w:szCs w:val="21"/>
                <w:highlight w:val="none"/>
              </w:rPr>
              <w:t>年4月3</w:t>
            </w:r>
            <w:r>
              <w:rPr>
                <w:rFonts w:ascii="宋体" w:hAnsi="宋体" w:cs="宋体"/>
                <w:szCs w:val="21"/>
                <w:highlight w:val="none"/>
              </w:rPr>
              <w:t>0</w:t>
            </w:r>
            <w:r>
              <w:rPr>
                <w:rFonts w:hint="eastAsia" w:ascii="宋体" w:hAnsi="宋体" w:cs="宋体"/>
                <w:szCs w:val="21"/>
                <w:highlight w:val="none"/>
              </w:rPr>
              <w:t>日，参竞人应具有单个合同单体经营面积</w:t>
            </w:r>
            <w:bookmarkStart w:id="42" w:name="OLE_LINK107"/>
            <w:r>
              <w:rPr>
                <w:rFonts w:hint="eastAsia" w:ascii="宋体" w:hAnsi="宋体" w:cs="宋体"/>
                <w:szCs w:val="21"/>
                <w:highlight w:val="none"/>
              </w:rPr>
              <w:t>25</w:t>
            </w:r>
            <w:r>
              <w:rPr>
                <w:rFonts w:ascii="宋体" w:hAnsi="宋体" w:cs="宋体"/>
                <w:szCs w:val="21"/>
                <w:highlight w:val="none"/>
              </w:rPr>
              <w:t>00</w:t>
            </w:r>
            <w:r>
              <w:rPr>
                <w:rFonts w:hint="eastAsia" w:ascii="宋体" w:hAnsi="宋体" w:cs="宋体"/>
                <w:szCs w:val="21"/>
                <w:highlight w:val="none"/>
              </w:rPr>
              <w:t>㎡</w:t>
            </w:r>
            <w:bookmarkEnd w:id="42"/>
            <w:r>
              <w:rPr>
                <w:rFonts w:hint="eastAsia" w:ascii="宋体" w:hAnsi="宋体" w:cs="宋体"/>
                <w:szCs w:val="21"/>
                <w:highlight w:val="none"/>
              </w:rPr>
              <w:t>及以上的高校食堂经营业绩，每增加1个得1分，最多得5分。同一个食堂多份合同视为一个业绩，且一个业绩不重复得分。</w:t>
            </w:r>
          </w:p>
        </w:tc>
        <w:tc>
          <w:tcPr>
            <w:tcW w:w="2436" w:type="dxa"/>
            <w:vAlign w:val="center"/>
          </w:tcPr>
          <w:p>
            <w:pPr>
              <w:pStyle w:val="16"/>
              <w:spacing w:line="276" w:lineRule="auto"/>
              <w:rPr>
                <w:rFonts w:ascii="宋体" w:hAnsi="宋体" w:eastAsia="宋体" w:cs="宋体"/>
                <w:sz w:val="21"/>
                <w:szCs w:val="21"/>
                <w:highlight w:val="none"/>
              </w:rPr>
            </w:pPr>
            <w:r>
              <w:rPr>
                <w:rFonts w:hint="eastAsia" w:ascii="宋体" w:hAnsi="宋体" w:eastAsia="宋体" w:cs="宋体"/>
                <w:sz w:val="21"/>
                <w:szCs w:val="21"/>
                <w:highlight w:val="none"/>
              </w:rPr>
              <w:t>1.业绩证明材料需附合同首尾页、关键信息页及盖章页，内容能够体现甲方名称、服务期限、服务内容、经营面积等。业绩证明材料需加盖参竞人公章。</w:t>
            </w:r>
          </w:p>
          <w:p>
            <w:pPr>
              <w:spacing w:line="276" w:lineRule="auto"/>
              <w:jc w:val="left"/>
              <w:rPr>
                <w:rFonts w:ascii="宋体" w:hAnsi="宋体" w:cs="宋体"/>
                <w:szCs w:val="21"/>
                <w:highlight w:val="none"/>
              </w:rPr>
            </w:pPr>
            <w:r>
              <w:rPr>
                <w:rFonts w:hint="eastAsia" w:ascii="宋体" w:hAnsi="宋体" w:cs="宋体"/>
                <w:szCs w:val="21"/>
                <w:highlight w:val="none"/>
              </w:rPr>
              <w:t>2.如果服务合同中未注明建筑面积，须提供与所投业绩相对应的甲方单位或者其后勤管理部门盖章出具的证明单体经营面积的证明材料。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64" w:type="dxa"/>
            <w:vMerge w:val="continue"/>
            <w:vAlign w:val="center"/>
          </w:tcPr>
          <w:p>
            <w:pPr>
              <w:spacing w:line="276" w:lineRule="auto"/>
              <w:jc w:val="center"/>
              <w:rPr>
                <w:rFonts w:ascii="宋体" w:hAnsi="宋体" w:cs="宋体"/>
                <w:szCs w:val="21"/>
                <w:highlight w:val="none"/>
              </w:rPr>
            </w:pPr>
          </w:p>
        </w:tc>
        <w:tc>
          <w:tcPr>
            <w:tcW w:w="1061" w:type="dxa"/>
            <w:vMerge w:val="continue"/>
            <w:vAlign w:val="center"/>
          </w:tcPr>
          <w:p>
            <w:pPr>
              <w:spacing w:line="276" w:lineRule="auto"/>
              <w:jc w:val="center"/>
              <w:rPr>
                <w:rFonts w:ascii="宋体" w:hAnsi="宋体" w:cs="宋体"/>
                <w:szCs w:val="21"/>
                <w:highlight w:val="none"/>
              </w:rPr>
            </w:pPr>
          </w:p>
        </w:tc>
        <w:tc>
          <w:tcPr>
            <w:tcW w:w="1090" w:type="dxa"/>
            <w:vAlign w:val="center"/>
          </w:tcPr>
          <w:p>
            <w:pPr>
              <w:spacing w:line="276" w:lineRule="auto"/>
              <w:jc w:val="center"/>
              <w:rPr>
                <w:rFonts w:ascii="宋体" w:hAnsi="宋体" w:cs="宋体"/>
                <w:szCs w:val="21"/>
                <w:highlight w:val="none"/>
              </w:rPr>
            </w:pPr>
            <w:r>
              <w:rPr>
                <w:rFonts w:hint="eastAsia" w:ascii="宋体" w:hAnsi="宋体" w:cs="宋体"/>
                <w:kern w:val="0"/>
                <w:szCs w:val="21"/>
                <w:highlight w:val="none"/>
              </w:rPr>
              <w:t>企业认证（5分）</w:t>
            </w:r>
          </w:p>
        </w:tc>
        <w:tc>
          <w:tcPr>
            <w:tcW w:w="4327" w:type="dxa"/>
            <w:vAlign w:val="center"/>
          </w:tcPr>
          <w:p>
            <w:pPr>
              <w:spacing w:line="276" w:lineRule="auto"/>
              <w:jc w:val="left"/>
              <w:rPr>
                <w:rFonts w:ascii="宋体" w:hAnsi="宋体" w:cs="宋体"/>
                <w:kern w:val="0"/>
                <w:szCs w:val="21"/>
                <w:highlight w:val="none"/>
              </w:rPr>
            </w:pPr>
            <w:r>
              <w:rPr>
                <w:rFonts w:hint="eastAsia" w:ascii="宋体" w:hAnsi="宋体" w:cs="宋体"/>
                <w:kern w:val="0"/>
                <w:szCs w:val="21"/>
                <w:highlight w:val="none"/>
              </w:rPr>
              <w:t>1.通过ISO22000食品安全管理体系认证。</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2.通过ISO9001质量管理体系认证。</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3.通过ISO14001环境管理体系认证。</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4.通过GB/T28001或GB/T45001-2020职业健康安全管理体系认证。</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5.获得HACCP危害分析和关键控制点体系认证证书。</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提供1个认证证书得1分，最多得5分。</w:t>
            </w:r>
          </w:p>
        </w:tc>
        <w:tc>
          <w:tcPr>
            <w:tcW w:w="2436" w:type="dxa"/>
          </w:tcPr>
          <w:p>
            <w:pPr>
              <w:spacing w:line="276" w:lineRule="auto"/>
              <w:jc w:val="left"/>
              <w:rPr>
                <w:rFonts w:ascii="宋体" w:hAnsi="宋体" w:cs="宋体"/>
                <w:kern w:val="0"/>
                <w:szCs w:val="21"/>
                <w:highlight w:val="none"/>
              </w:rPr>
            </w:pPr>
            <w:r>
              <w:rPr>
                <w:rFonts w:hint="eastAsia" w:ascii="宋体" w:hAnsi="宋体" w:cs="宋体"/>
                <w:kern w:val="0"/>
                <w:szCs w:val="21"/>
                <w:highlight w:val="none"/>
              </w:rPr>
              <w:t>提供加盖参竞人公章的有效证书复印件。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64" w:type="dxa"/>
            <w:vMerge w:val="continue"/>
            <w:vAlign w:val="center"/>
          </w:tcPr>
          <w:p>
            <w:pPr>
              <w:spacing w:line="276" w:lineRule="auto"/>
              <w:jc w:val="center"/>
              <w:rPr>
                <w:rFonts w:ascii="宋体" w:hAnsi="宋体" w:cs="宋体"/>
                <w:szCs w:val="21"/>
                <w:highlight w:val="none"/>
              </w:rPr>
            </w:pPr>
          </w:p>
        </w:tc>
        <w:tc>
          <w:tcPr>
            <w:tcW w:w="1061" w:type="dxa"/>
            <w:vMerge w:val="continue"/>
            <w:vAlign w:val="center"/>
          </w:tcPr>
          <w:p>
            <w:pPr>
              <w:spacing w:line="276" w:lineRule="auto"/>
              <w:jc w:val="center"/>
              <w:rPr>
                <w:rFonts w:ascii="宋体" w:hAnsi="宋体" w:cs="宋体"/>
                <w:szCs w:val="21"/>
                <w:highlight w:val="none"/>
              </w:rPr>
            </w:pPr>
          </w:p>
        </w:tc>
        <w:tc>
          <w:tcPr>
            <w:tcW w:w="1090" w:type="dxa"/>
            <w:vAlign w:val="center"/>
          </w:tcPr>
          <w:p>
            <w:pPr>
              <w:spacing w:line="276" w:lineRule="auto"/>
              <w:jc w:val="center"/>
              <w:rPr>
                <w:rFonts w:ascii="宋体" w:hAnsi="宋体" w:cs="宋体"/>
                <w:kern w:val="0"/>
                <w:szCs w:val="21"/>
                <w:highlight w:val="none"/>
              </w:rPr>
            </w:pPr>
            <w:r>
              <w:rPr>
                <w:rFonts w:hint="eastAsia" w:ascii="宋体" w:hAnsi="宋体" w:cs="宋体"/>
                <w:kern w:val="0"/>
                <w:szCs w:val="21"/>
                <w:highlight w:val="none"/>
              </w:rPr>
              <w:t>经济实力</w:t>
            </w:r>
          </w:p>
          <w:p>
            <w:pPr>
              <w:spacing w:line="276" w:lineRule="auto"/>
              <w:jc w:val="center"/>
              <w:rPr>
                <w:rFonts w:ascii="宋体" w:hAnsi="宋体" w:cs="宋体"/>
                <w:kern w:val="0"/>
                <w:szCs w:val="21"/>
                <w:highlight w:val="none"/>
              </w:rPr>
            </w:pPr>
            <w:r>
              <w:rPr>
                <w:rFonts w:hint="eastAsia" w:ascii="宋体" w:hAnsi="宋体" w:cs="宋体"/>
                <w:kern w:val="0"/>
                <w:szCs w:val="21"/>
                <w:highlight w:val="none"/>
              </w:rPr>
              <w:t>（5分）</w:t>
            </w:r>
          </w:p>
        </w:tc>
        <w:tc>
          <w:tcPr>
            <w:tcW w:w="4327" w:type="dxa"/>
            <w:vAlign w:val="center"/>
          </w:tcPr>
          <w:p>
            <w:pPr>
              <w:spacing w:line="276" w:lineRule="auto"/>
              <w:jc w:val="left"/>
              <w:rPr>
                <w:rFonts w:ascii="宋体" w:hAnsi="宋体" w:cs="宋体"/>
                <w:kern w:val="0"/>
                <w:szCs w:val="21"/>
                <w:highlight w:val="none"/>
              </w:rPr>
            </w:pPr>
            <w:r>
              <w:rPr>
                <w:rFonts w:hint="eastAsia" w:ascii="宋体" w:hAnsi="宋体" w:cs="宋体"/>
                <w:kern w:val="0"/>
                <w:szCs w:val="21"/>
                <w:highlight w:val="none"/>
              </w:rPr>
              <w:t>1.近两年资产负债率平均小于50%，且财务报表为盈利的得2分。（提供财务审计报告盖公司公章）</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2.在2025年1月1日至2025年4月30日公司银行日均存款不少于100万元得1分；</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公司银行日均存款不少于200万元得1.5分；</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公司银行日均存款不少于300万元得2分；</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公司银行日均存款不少于400万元得2.5分；</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公司银行日均存款不少于500万元得3分；</w:t>
            </w:r>
          </w:p>
        </w:tc>
        <w:tc>
          <w:tcPr>
            <w:tcW w:w="2436" w:type="dxa"/>
          </w:tcPr>
          <w:p>
            <w:pPr>
              <w:spacing w:line="276" w:lineRule="auto"/>
              <w:jc w:val="left"/>
              <w:rPr>
                <w:rFonts w:ascii="宋体" w:hAnsi="宋体" w:cs="宋体"/>
                <w:kern w:val="0"/>
                <w:szCs w:val="21"/>
                <w:highlight w:val="none"/>
              </w:rPr>
            </w:pPr>
            <w:r>
              <w:rPr>
                <w:rFonts w:hint="eastAsia" w:ascii="宋体" w:hAnsi="宋体" w:cs="宋体"/>
                <w:kern w:val="0"/>
                <w:szCs w:val="21"/>
                <w:highlight w:val="none"/>
              </w:rPr>
              <w:t>公司银行账户日均存款证明材料须有银行公章或电子章，营业执照复印件及银行查询单盖公司公章，查验原件）</w:t>
            </w:r>
          </w:p>
          <w:p>
            <w:pPr>
              <w:spacing w:line="276" w:lineRule="auto"/>
              <w:jc w:val="left"/>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64" w:type="dxa"/>
            <w:vMerge w:val="continue"/>
            <w:vAlign w:val="center"/>
          </w:tcPr>
          <w:p>
            <w:pPr>
              <w:spacing w:line="276" w:lineRule="auto"/>
              <w:jc w:val="center"/>
              <w:rPr>
                <w:rFonts w:ascii="宋体" w:hAnsi="宋体" w:cs="宋体"/>
                <w:szCs w:val="21"/>
                <w:highlight w:val="none"/>
              </w:rPr>
            </w:pPr>
          </w:p>
        </w:tc>
        <w:tc>
          <w:tcPr>
            <w:tcW w:w="1061" w:type="dxa"/>
            <w:vMerge w:val="continue"/>
            <w:vAlign w:val="center"/>
          </w:tcPr>
          <w:p>
            <w:pPr>
              <w:spacing w:line="276" w:lineRule="auto"/>
              <w:jc w:val="center"/>
              <w:rPr>
                <w:rFonts w:ascii="宋体" w:hAnsi="宋体" w:cs="宋体"/>
                <w:szCs w:val="21"/>
                <w:highlight w:val="none"/>
              </w:rPr>
            </w:pPr>
          </w:p>
        </w:tc>
        <w:tc>
          <w:tcPr>
            <w:tcW w:w="1090" w:type="dxa"/>
            <w:vAlign w:val="center"/>
          </w:tcPr>
          <w:p>
            <w:pPr>
              <w:spacing w:line="276" w:lineRule="auto"/>
              <w:jc w:val="center"/>
              <w:rPr>
                <w:rFonts w:ascii="宋体" w:hAnsi="宋体" w:cs="宋体"/>
                <w:kern w:val="0"/>
                <w:szCs w:val="21"/>
                <w:highlight w:val="none"/>
              </w:rPr>
            </w:pPr>
            <w:r>
              <w:rPr>
                <w:rFonts w:hint="eastAsia" w:ascii="宋体" w:hAnsi="宋体" w:cs="宋体"/>
                <w:kern w:val="0"/>
                <w:szCs w:val="21"/>
                <w:highlight w:val="none"/>
              </w:rPr>
              <w:t>其他优惠</w:t>
            </w:r>
          </w:p>
          <w:p>
            <w:pPr>
              <w:spacing w:line="276" w:lineRule="auto"/>
              <w:jc w:val="center"/>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w:t>
            </w:r>
            <w:r>
              <w:rPr>
                <w:rFonts w:hint="eastAsia" w:ascii="宋体" w:hAnsi="宋体" w:cs="宋体"/>
                <w:kern w:val="0"/>
                <w:szCs w:val="21"/>
                <w:highlight w:val="none"/>
              </w:rPr>
              <w:t>分）</w:t>
            </w:r>
          </w:p>
        </w:tc>
        <w:tc>
          <w:tcPr>
            <w:tcW w:w="4327" w:type="dxa"/>
            <w:vAlign w:val="center"/>
          </w:tcPr>
          <w:p>
            <w:pPr>
              <w:spacing w:line="276" w:lineRule="auto"/>
              <w:jc w:val="left"/>
              <w:rPr>
                <w:rFonts w:ascii="宋体" w:hAnsi="宋体" w:cs="宋体"/>
                <w:kern w:val="0"/>
                <w:szCs w:val="21"/>
                <w:highlight w:val="none"/>
              </w:rPr>
            </w:pPr>
            <w:r>
              <w:rPr>
                <w:rFonts w:hint="eastAsia" w:ascii="宋体" w:hAnsi="宋体" w:cs="宋体"/>
                <w:kern w:val="0"/>
                <w:szCs w:val="21"/>
                <w:highlight w:val="none"/>
              </w:rPr>
              <w:t>除本表上述内容外，根据给予师生的优惠情况进行横向比较。</w:t>
            </w:r>
            <w:r>
              <w:rPr>
                <w:rFonts w:ascii="宋体" w:hAnsi="宋体" w:cs="宋体"/>
                <w:kern w:val="0"/>
                <w:szCs w:val="21"/>
                <w:highlight w:val="none"/>
              </w:rPr>
              <w:t xml:space="preserve"> </w:t>
            </w:r>
          </w:p>
          <w:p>
            <w:pPr>
              <w:spacing w:line="276" w:lineRule="auto"/>
              <w:jc w:val="left"/>
              <w:rPr>
                <w:rFonts w:ascii="宋体" w:hAnsi="宋体" w:cs="宋体"/>
                <w:kern w:val="0"/>
                <w:szCs w:val="21"/>
                <w:highlight w:val="none"/>
              </w:rPr>
            </w:pPr>
            <w:r>
              <w:rPr>
                <w:rFonts w:hint="eastAsia" w:ascii="宋体" w:hAnsi="宋体" w:cs="宋体"/>
                <w:kern w:val="0"/>
                <w:szCs w:val="21"/>
                <w:highlight w:val="none"/>
              </w:rPr>
              <w:t>优得</w:t>
            </w:r>
            <w:r>
              <w:rPr>
                <w:rFonts w:ascii="宋体" w:hAnsi="宋体" w:cs="宋体"/>
                <w:kern w:val="0"/>
                <w:szCs w:val="21"/>
                <w:highlight w:val="none"/>
              </w:rPr>
              <w:t>2</w:t>
            </w:r>
            <w:r>
              <w:rPr>
                <w:rFonts w:hint="eastAsia" w:ascii="宋体" w:hAnsi="宋体" w:cs="宋体"/>
                <w:kern w:val="0"/>
                <w:szCs w:val="21"/>
                <w:highlight w:val="none"/>
              </w:rPr>
              <w:t>分，良得</w:t>
            </w:r>
            <w:r>
              <w:rPr>
                <w:rFonts w:ascii="宋体" w:hAnsi="宋体" w:cs="宋体"/>
                <w:kern w:val="0"/>
                <w:szCs w:val="21"/>
                <w:highlight w:val="none"/>
              </w:rPr>
              <w:t>1</w:t>
            </w:r>
            <w:r>
              <w:rPr>
                <w:rFonts w:hint="eastAsia" w:ascii="宋体" w:hAnsi="宋体" w:cs="宋体"/>
                <w:kern w:val="0"/>
                <w:szCs w:val="21"/>
                <w:highlight w:val="none"/>
              </w:rPr>
              <w:t>分，中得</w:t>
            </w:r>
            <w:r>
              <w:rPr>
                <w:rFonts w:ascii="宋体" w:hAnsi="宋体" w:cs="宋体"/>
                <w:kern w:val="0"/>
                <w:szCs w:val="21"/>
                <w:highlight w:val="none"/>
              </w:rPr>
              <w:t>0.5</w:t>
            </w:r>
            <w:r>
              <w:rPr>
                <w:rFonts w:hint="eastAsia" w:ascii="宋体" w:hAnsi="宋体" w:cs="宋体"/>
                <w:kern w:val="0"/>
                <w:szCs w:val="21"/>
                <w:highlight w:val="none"/>
              </w:rPr>
              <w:t>分，差或未提供得0分。</w:t>
            </w:r>
          </w:p>
        </w:tc>
        <w:tc>
          <w:tcPr>
            <w:tcW w:w="2436" w:type="dxa"/>
            <w:vAlign w:val="center"/>
          </w:tcPr>
          <w:p>
            <w:pPr>
              <w:spacing w:line="276" w:lineRule="auto"/>
              <w:jc w:val="left"/>
              <w:rPr>
                <w:rFonts w:ascii="宋体" w:hAnsi="宋体" w:cs="宋体"/>
                <w:kern w:val="0"/>
                <w:szCs w:val="21"/>
                <w:highlight w:val="none"/>
              </w:rPr>
            </w:pPr>
            <w:r>
              <w:rPr>
                <w:rFonts w:hint="eastAsia" w:ascii="宋体" w:hAnsi="宋体" w:cs="宋体"/>
                <w:szCs w:val="21"/>
                <w:highlight w:val="none"/>
              </w:rPr>
              <w:t>优惠方案格式自拟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64" w:type="dxa"/>
            <w:vMerge w:val="continue"/>
            <w:vAlign w:val="center"/>
          </w:tcPr>
          <w:p>
            <w:pPr>
              <w:spacing w:line="276" w:lineRule="auto"/>
              <w:jc w:val="center"/>
              <w:rPr>
                <w:rFonts w:ascii="宋体" w:hAnsi="宋体" w:cs="宋体"/>
                <w:szCs w:val="21"/>
                <w:highlight w:val="none"/>
              </w:rPr>
            </w:pPr>
          </w:p>
        </w:tc>
        <w:tc>
          <w:tcPr>
            <w:tcW w:w="1061" w:type="dxa"/>
            <w:vMerge w:val="continue"/>
            <w:vAlign w:val="center"/>
          </w:tcPr>
          <w:p>
            <w:pPr>
              <w:spacing w:line="276" w:lineRule="auto"/>
              <w:jc w:val="center"/>
              <w:rPr>
                <w:rFonts w:ascii="宋体" w:hAnsi="宋体" w:cs="宋体"/>
                <w:szCs w:val="21"/>
                <w:highlight w:val="none"/>
              </w:rPr>
            </w:pPr>
          </w:p>
        </w:tc>
        <w:tc>
          <w:tcPr>
            <w:tcW w:w="1090" w:type="dxa"/>
            <w:vAlign w:val="center"/>
          </w:tcPr>
          <w:p>
            <w:pPr>
              <w:spacing w:line="276" w:lineRule="auto"/>
              <w:jc w:val="center"/>
              <w:rPr>
                <w:rFonts w:ascii="宋体" w:hAnsi="宋体" w:cs="宋体"/>
                <w:kern w:val="0"/>
                <w:szCs w:val="21"/>
                <w:highlight w:val="none"/>
              </w:rPr>
            </w:pPr>
            <w:r>
              <w:rPr>
                <w:rFonts w:hint="eastAsia" w:ascii="宋体" w:hAnsi="宋体" w:cs="宋体"/>
                <w:kern w:val="0"/>
                <w:szCs w:val="21"/>
                <w:highlight w:val="none"/>
              </w:rPr>
              <w:t>劳动育人方案（</w:t>
            </w:r>
            <w:r>
              <w:rPr>
                <w:rFonts w:ascii="宋体" w:hAnsi="宋体" w:cs="宋体"/>
                <w:kern w:val="0"/>
                <w:szCs w:val="21"/>
                <w:highlight w:val="none"/>
              </w:rPr>
              <w:t>3</w:t>
            </w:r>
            <w:r>
              <w:rPr>
                <w:rFonts w:hint="eastAsia" w:ascii="宋体" w:hAnsi="宋体" w:cs="宋体"/>
                <w:kern w:val="0"/>
                <w:szCs w:val="21"/>
                <w:highlight w:val="none"/>
              </w:rPr>
              <w:t>分）</w:t>
            </w:r>
          </w:p>
        </w:tc>
        <w:tc>
          <w:tcPr>
            <w:tcW w:w="4327" w:type="dxa"/>
            <w:vAlign w:val="center"/>
          </w:tcPr>
          <w:p>
            <w:pPr>
              <w:spacing w:line="276" w:lineRule="auto"/>
              <w:jc w:val="left"/>
              <w:rPr>
                <w:rFonts w:ascii="宋体" w:hAnsi="宋体" w:cs="宋体"/>
                <w:kern w:val="0"/>
                <w:szCs w:val="21"/>
                <w:highlight w:val="none"/>
              </w:rPr>
            </w:pPr>
            <w:r>
              <w:rPr>
                <w:rFonts w:hint="eastAsia" w:ascii="宋体" w:hAnsi="宋体" w:cs="宋体"/>
                <w:kern w:val="0"/>
                <w:szCs w:val="21"/>
                <w:highlight w:val="none"/>
              </w:rPr>
              <w:t>结合校园文化传统和食堂硬件条件，提供劳动育人方案，包括活动方案、场地的规划设计。优得</w:t>
            </w:r>
            <w:r>
              <w:rPr>
                <w:rFonts w:ascii="宋体" w:hAnsi="宋体" w:cs="宋体"/>
                <w:kern w:val="0"/>
                <w:szCs w:val="21"/>
                <w:highlight w:val="none"/>
              </w:rPr>
              <w:t>3</w:t>
            </w:r>
            <w:r>
              <w:rPr>
                <w:rFonts w:hint="eastAsia" w:ascii="宋体" w:hAnsi="宋体" w:cs="宋体"/>
                <w:kern w:val="0"/>
                <w:szCs w:val="21"/>
                <w:highlight w:val="none"/>
              </w:rPr>
              <w:t>分，良得</w:t>
            </w:r>
            <w:r>
              <w:rPr>
                <w:rFonts w:ascii="宋体" w:hAnsi="宋体" w:cs="宋体"/>
                <w:kern w:val="0"/>
                <w:szCs w:val="21"/>
                <w:highlight w:val="none"/>
              </w:rPr>
              <w:t>2</w:t>
            </w:r>
            <w:r>
              <w:rPr>
                <w:rFonts w:hint="eastAsia" w:ascii="宋体" w:hAnsi="宋体" w:cs="宋体"/>
                <w:kern w:val="0"/>
                <w:szCs w:val="21"/>
                <w:highlight w:val="none"/>
              </w:rPr>
              <w:t>分，中得</w:t>
            </w:r>
            <w:r>
              <w:rPr>
                <w:rFonts w:ascii="宋体" w:hAnsi="宋体" w:cs="宋体"/>
                <w:kern w:val="0"/>
                <w:szCs w:val="21"/>
                <w:highlight w:val="none"/>
              </w:rPr>
              <w:t>1</w:t>
            </w:r>
            <w:r>
              <w:rPr>
                <w:rFonts w:hint="eastAsia" w:ascii="宋体" w:hAnsi="宋体" w:cs="宋体"/>
                <w:kern w:val="0"/>
                <w:szCs w:val="21"/>
                <w:highlight w:val="none"/>
              </w:rPr>
              <w:t>分，差或未提供得0分。</w:t>
            </w:r>
          </w:p>
        </w:tc>
        <w:tc>
          <w:tcPr>
            <w:tcW w:w="2436" w:type="dxa"/>
            <w:vAlign w:val="center"/>
          </w:tcPr>
          <w:p>
            <w:pPr>
              <w:spacing w:line="276" w:lineRule="auto"/>
              <w:jc w:val="left"/>
              <w:rPr>
                <w:rFonts w:ascii="宋体" w:hAnsi="宋体" w:cs="宋体"/>
                <w:szCs w:val="21"/>
                <w:highlight w:val="none"/>
              </w:rPr>
            </w:pPr>
            <w:r>
              <w:rPr>
                <w:rFonts w:hint="eastAsia" w:ascii="宋体" w:hAnsi="宋体" w:cs="宋体"/>
                <w:szCs w:val="21"/>
                <w:highlight w:val="none"/>
              </w:rPr>
              <w:t>劳动育人方案格式自拟</w:t>
            </w:r>
          </w:p>
        </w:tc>
      </w:tr>
      <w:bookmarkEnd w:id="27"/>
      <w:bookmarkEnd w:id="28"/>
    </w:tbl>
    <w:p>
      <w:pPr>
        <w:spacing w:line="276" w:lineRule="auto"/>
        <w:rPr>
          <w:rFonts w:ascii="宋体" w:hAnsi="宋体" w:eastAsia="宋体"/>
          <w:highlight w:val="none"/>
        </w:rPr>
      </w:pPr>
      <w:r>
        <w:rPr>
          <w:rFonts w:hint="eastAsia" w:ascii="宋体" w:hAnsi="宋体" w:eastAsia="宋体" w:cs="宋体"/>
          <w:sz w:val="24"/>
          <w:szCs w:val="24"/>
          <w:highlight w:val="none"/>
        </w:rPr>
        <w:t>说明：评审委员会认为参竞人的报价明显低于其他通过符合性审查参竞人的报价，有可能影响产品质量或者不能诚信履约的，应当要求其在评审现场合理的时间内提供书面说明，必要时提交相关证明材料；参竞人不能证明其报价合理性的，评审委员会应当将其作为无效参竞处理。</w:t>
      </w:r>
    </w:p>
    <w:p>
      <w:pPr>
        <w:pStyle w:val="3"/>
        <w:tabs>
          <w:tab w:val="clear" w:pos="3360"/>
        </w:tabs>
        <w:spacing w:before="312" w:after="156" w:line="276" w:lineRule="auto"/>
        <w:jc w:val="left"/>
        <w:rPr>
          <w:rFonts w:cs="宋体"/>
          <w:b/>
          <w:bCs/>
          <w:color w:val="FF0000"/>
          <w:sz w:val="24"/>
          <w:szCs w:val="24"/>
          <w:highlight w:val="none"/>
        </w:rPr>
      </w:pPr>
      <w:bookmarkStart w:id="43" w:name="_Toc17774"/>
      <w:bookmarkStart w:id="44" w:name="_Toc422380985"/>
      <w:r>
        <w:rPr>
          <w:rFonts w:hint="eastAsia" w:cs="宋体"/>
          <w:b/>
          <w:bCs/>
          <w:sz w:val="24"/>
          <w:szCs w:val="24"/>
          <w:highlight w:val="none"/>
        </w:rPr>
        <w:t xml:space="preserve">   </w:t>
      </w:r>
      <w:bookmarkStart w:id="45" w:name="_Toc12761"/>
      <w:r>
        <w:rPr>
          <w:rFonts w:hint="eastAsia" w:cs="宋体"/>
          <w:b/>
          <w:bCs/>
          <w:sz w:val="24"/>
          <w:szCs w:val="24"/>
          <w:highlight w:val="none"/>
        </w:rPr>
        <w:t>三、</w:t>
      </w:r>
      <w:r>
        <w:rPr>
          <w:rFonts w:hint="eastAsia" w:cs="宋体"/>
          <w:b/>
          <w:bCs/>
          <w:color w:val="000000"/>
          <w:sz w:val="24"/>
          <w:szCs w:val="24"/>
          <w:highlight w:val="none"/>
        </w:rPr>
        <w:t>无效参竞条款</w:t>
      </w:r>
      <w:bookmarkEnd w:id="43"/>
      <w:bookmarkEnd w:id="44"/>
      <w:bookmarkEnd w:id="45"/>
    </w:p>
    <w:p>
      <w:pPr>
        <w:spacing w:line="276" w:lineRule="auto"/>
        <w:rPr>
          <w:rFonts w:ascii="宋体" w:hAnsi="宋体" w:eastAsia="宋体" w:cs="宋体"/>
          <w:sz w:val="24"/>
          <w:szCs w:val="24"/>
          <w:highlight w:val="none"/>
        </w:rPr>
      </w:pPr>
      <w:r>
        <w:rPr>
          <w:rFonts w:hint="eastAsia" w:ascii="宋体" w:hAnsi="宋体" w:eastAsia="宋体" w:cs="宋体"/>
          <w:b/>
          <w:bCs/>
          <w:color w:val="FF0000"/>
          <w:sz w:val="24"/>
          <w:szCs w:val="24"/>
          <w:highlight w:val="none"/>
        </w:rPr>
        <w:t xml:space="preserve">   </w:t>
      </w:r>
      <w:r>
        <w:rPr>
          <w:rFonts w:hint="eastAsia" w:ascii="宋体" w:hAnsi="宋体" w:eastAsia="宋体" w:cs="宋体"/>
          <w:sz w:val="24"/>
          <w:szCs w:val="24"/>
          <w:highlight w:val="none"/>
        </w:rPr>
        <w:t>评审委员会评审时，参竞人或其参竞文件出现下列情况之一者，应为无效参竞：</w:t>
      </w:r>
    </w:p>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（一）参竞人未按食堂联合经营项目文件规定提交足额参竞保证金的。</w:t>
      </w:r>
    </w:p>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（二）参竞人不具备食堂联合经营项目文件规定的资格要求的。</w:t>
      </w:r>
    </w:p>
    <w:p>
      <w:pPr>
        <w:spacing w:line="276"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（三）参竞人未按食堂联合经营项目文件中项目商务需求部分要求参竞的。</w:t>
      </w:r>
    </w:p>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（四）参竞文件未按照食堂联合经营项目文件要求由参竞人法定代表人或授权代表签字，或未按食堂联合经营项目文件要求的格式加盖公章的。</w:t>
      </w:r>
    </w:p>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（五）参竞文件出现多个参竞案或多个参竞报价的。</w:t>
      </w:r>
    </w:p>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（六）参竞有效期不能满足食堂联合经营项目文件要</w:t>
      </w:r>
      <w:r>
        <w:rPr>
          <w:rFonts w:hint="eastAsia" w:ascii="宋体" w:hAnsi="宋体" w:eastAsia="宋体" w:cs="宋体"/>
          <w:snapToGrid w:val="0"/>
          <w:sz w:val="24"/>
          <w:szCs w:val="24"/>
          <w:highlight w:val="none"/>
        </w:rPr>
        <w:t>求的。</w:t>
      </w:r>
    </w:p>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（七）参竞文件含有违反国家法律、法规的内容，或附有学校不能接受的条件的。</w:t>
      </w:r>
      <w:bookmarkStart w:id="46" w:name="_Toc1116"/>
      <w:bookmarkStart w:id="47" w:name="_Toc422380986"/>
      <w:r>
        <w:rPr>
          <w:rFonts w:hint="eastAsia" w:ascii="宋体" w:hAnsi="宋体" w:eastAsia="宋体" w:cs="宋体"/>
          <w:sz w:val="24"/>
          <w:szCs w:val="24"/>
          <w:highlight w:val="none"/>
        </w:rPr>
        <w:t xml:space="preserve">      </w:t>
      </w:r>
    </w:p>
    <w:p>
      <w:pPr>
        <w:spacing w:line="276" w:lineRule="auto"/>
        <w:rPr>
          <w:rFonts w:ascii="宋体" w:hAnsi="宋体" w:eastAsia="宋体" w:cs="宋体"/>
          <w:b/>
          <w:bCs/>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b/>
          <w:bCs/>
          <w:sz w:val="24"/>
          <w:szCs w:val="24"/>
          <w:highlight w:val="none"/>
        </w:rPr>
        <w:t>四、终止条款</w:t>
      </w:r>
      <w:bookmarkEnd w:id="46"/>
      <w:bookmarkEnd w:id="47"/>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评审委员会评审时出现以下情况之一的，应予终止：</w:t>
      </w:r>
    </w:p>
    <w:p>
      <w:pPr>
        <w:pStyle w:val="138"/>
        <w:spacing w:line="276" w:lineRule="auto"/>
        <w:ind w:left="480" w:firstLine="0" w:firstLineChars="0"/>
        <w:rPr>
          <w:rFonts w:ascii="宋体" w:hAnsi="宋体" w:cs="宋体"/>
          <w:sz w:val="24"/>
          <w:szCs w:val="24"/>
          <w:highlight w:val="none"/>
        </w:rPr>
      </w:pPr>
      <w:r>
        <w:rPr>
          <w:rFonts w:hint="eastAsia" w:ascii="宋体" w:hAnsi="宋体" w:cs="宋体"/>
          <w:sz w:val="24"/>
          <w:szCs w:val="24"/>
          <w:highlight w:val="none"/>
        </w:rPr>
        <w:t>（一）出现影响参竞公正的违法、违规行为的。</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（二）因重大变故，联合经营任务取消的。</w:t>
      </w:r>
    </w:p>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终止后，除联合经营项目任务取消情形外，应当重新组织参竞活动。</w:t>
      </w:r>
      <w:bookmarkStart w:id="48" w:name="_Toc422380987"/>
      <w:bookmarkStart w:id="49" w:name="_Toc7153"/>
      <w:r>
        <w:rPr>
          <w:rFonts w:hint="eastAsia" w:ascii="宋体" w:hAnsi="宋体" w:eastAsia="宋体" w:cs="宋体"/>
          <w:sz w:val="24"/>
          <w:szCs w:val="24"/>
          <w:highlight w:val="none"/>
        </w:rPr>
        <w:t xml:space="preserve">                 </w:t>
      </w:r>
    </w:p>
    <w:p>
      <w:pPr>
        <w:spacing w:line="276" w:lineRule="auto"/>
        <w:rPr>
          <w:rFonts w:ascii="宋体" w:hAnsi="宋体" w:eastAsia="宋体" w:cs="宋体"/>
          <w:sz w:val="24"/>
          <w:szCs w:val="24"/>
          <w:highlight w:val="none"/>
        </w:rPr>
      </w:pPr>
    </w:p>
    <w:p>
      <w:pPr>
        <w:spacing w:line="276" w:lineRule="auto"/>
        <w:ind w:firstLine="3120" w:firstLineChars="1300"/>
        <w:rPr>
          <w:rFonts w:ascii="宋体" w:hAnsi="宋体" w:eastAsia="宋体" w:cs="宋体"/>
          <w:b/>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b/>
          <w:sz w:val="24"/>
          <w:szCs w:val="24"/>
          <w:highlight w:val="none"/>
        </w:rPr>
        <w:t>第四篇 参竞人须知</w:t>
      </w:r>
      <w:bookmarkEnd w:id="48"/>
      <w:bookmarkEnd w:id="49"/>
    </w:p>
    <w:p>
      <w:pPr>
        <w:pStyle w:val="3"/>
        <w:tabs>
          <w:tab w:val="clear" w:pos="3360"/>
        </w:tabs>
        <w:spacing w:before="312" w:after="156" w:line="276" w:lineRule="auto"/>
        <w:ind w:firstLine="482" w:firstLineChars="200"/>
        <w:jc w:val="left"/>
        <w:rPr>
          <w:rFonts w:cs="宋体"/>
          <w:b/>
          <w:bCs/>
          <w:sz w:val="24"/>
          <w:szCs w:val="24"/>
          <w:highlight w:val="none"/>
        </w:rPr>
      </w:pPr>
      <w:bookmarkStart w:id="50" w:name="_Toc422380988"/>
      <w:bookmarkStart w:id="51" w:name="_Toc12039"/>
      <w:bookmarkStart w:id="52" w:name="_Toc25220"/>
      <w:r>
        <w:rPr>
          <w:rFonts w:hint="eastAsia" w:cs="宋体"/>
          <w:b/>
          <w:bCs/>
          <w:sz w:val="24"/>
          <w:szCs w:val="24"/>
          <w:highlight w:val="none"/>
        </w:rPr>
        <w:t>一、</w:t>
      </w:r>
      <w:bookmarkStart w:id="53" w:name="_Hlt41895406"/>
      <w:bookmarkEnd w:id="53"/>
      <w:r>
        <w:rPr>
          <w:rFonts w:hint="eastAsia" w:cs="宋体"/>
          <w:b/>
          <w:bCs/>
          <w:sz w:val="24"/>
          <w:szCs w:val="24"/>
          <w:highlight w:val="none"/>
        </w:rPr>
        <w:t>参竞费用</w:t>
      </w:r>
      <w:bookmarkEnd w:id="50"/>
      <w:bookmarkEnd w:id="51"/>
      <w:bookmarkEnd w:id="52"/>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无论参竞结果如何，参竞人参与本项目的所有费用均应由参竞人自行承担。</w:t>
      </w:r>
    </w:p>
    <w:p>
      <w:pPr>
        <w:spacing w:line="276" w:lineRule="auto"/>
        <w:ind w:firstLine="482" w:firstLineChars="200"/>
        <w:rPr>
          <w:rFonts w:ascii="宋体" w:hAnsi="宋体" w:eastAsia="宋体" w:cs="宋体"/>
          <w:b/>
          <w:bCs/>
          <w:sz w:val="24"/>
          <w:szCs w:val="24"/>
          <w:highlight w:val="none"/>
        </w:rPr>
      </w:pPr>
      <w:bookmarkStart w:id="54" w:name="_Toc422380989"/>
      <w:bookmarkStart w:id="55" w:name="_Toc1929"/>
      <w:bookmarkStart w:id="56" w:name="_Toc13740"/>
      <w:r>
        <w:rPr>
          <w:rFonts w:hint="eastAsia" w:ascii="宋体" w:hAnsi="宋体" w:eastAsia="宋体" w:cs="宋体"/>
          <w:b/>
          <w:bCs/>
          <w:sz w:val="24"/>
          <w:szCs w:val="24"/>
          <w:highlight w:val="none"/>
        </w:rPr>
        <w:t>二、</w:t>
      </w:r>
      <w:bookmarkEnd w:id="54"/>
      <w:bookmarkEnd w:id="55"/>
      <w:bookmarkEnd w:id="56"/>
      <w:r>
        <w:rPr>
          <w:rFonts w:hint="eastAsia" w:ascii="宋体" w:hAnsi="宋体" w:eastAsia="宋体" w:cs="宋体"/>
          <w:b/>
          <w:bCs/>
          <w:sz w:val="24"/>
          <w:szCs w:val="24"/>
          <w:highlight w:val="none"/>
        </w:rPr>
        <w:t>参竞人</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1、合格参竞人条件</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合格参竞人应完全符合食堂联合经营项目文件第一篇中规定的参竞人资格条件，并对食堂联合经营项目文件做出实质性响应。</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2、参竞人的风险</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参竞人没有按照食堂联合经营项目文件要求提供全部资料，或者参竞人没有对食堂联合经营项目文件在各方面做出实质性响应，可能导致参竞被拒绝或评定为无效参竞。</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3、本项目不接受联合体参竞。项目联合经营过程中不得分包、转包。</w:t>
      </w:r>
    </w:p>
    <w:p>
      <w:pPr>
        <w:pStyle w:val="3"/>
        <w:tabs>
          <w:tab w:val="clear" w:pos="3360"/>
        </w:tabs>
        <w:spacing w:before="312" w:after="156" w:line="276" w:lineRule="auto"/>
        <w:ind w:firstLine="482" w:firstLineChars="200"/>
        <w:jc w:val="left"/>
        <w:rPr>
          <w:rFonts w:cs="宋体"/>
          <w:b/>
          <w:bCs/>
          <w:sz w:val="24"/>
          <w:szCs w:val="24"/>
          <w:highlight w:val="none"/>
        </w:rPr>
      </w:pPr>
      <w:bookmarkStart w:id="57" w:name="_Toc3118"/>
      <w:bookmarkStart w:id="58" w:name="_Toc422380990"/>
      <w:bookmarkStart w:id="59" w:name="_Toc2977"/>
      <w:r>
        <w:rPr>
          <w:rFonts w:hint="eastAsia" w:cs="宋体"/>
          <w:b/>
          <w:bCs/>
          <w:sz w:val="24"/>
          <w:szCs w:val="24"/>
          <w:highlight w:val="none"/>
        </w:rPr>
        <w:t>三、</w:t>
      </w:r>
      <w:bookmarkEnd w:id="57"/>
      <w:bookmarkEnd w:id="58"/>
      <w:r>
        <w:rPr>
          <w:rFonts w:hint="eastAsia" w:cs="宋体"/>
          <w:b/>
          <w:bCs/>
          <w:sz w:val="24"/>
          <w:szCs w:val="24"/>
          <w:highlight w:val="none"/>
        </w:rPr>
        <w:t>食堂联合经营项目文件</w:t>
      </w:r>
      <w:bookmarkEnd w:id="59"/>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食堂联合经营项目文件是参竞人编制参竞文件的依据，是评审委员会评判依据和标准。食堂联合经营项目文件也是学校与拟成交人签订合同的基础。</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1.学校对食堂联合经营项目文件所作的一切有效的书面通知、修改及补充，都是食堂联合经营项目文件不可分割的部分。</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2.食堂联合经营项目文件的解释</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参竞人如对食堂联合经营项目文件有疑问，必须以书面形式在6月23日中午12:00以前向四川外国语大学要求澄清，四川外国语大学可视具体情况做出处理或答复。如参竞人未提出疑问，视为完全理解本食堂联合经营项目文件。一经进入评审程序，即视为参竞人已详细阅读全部文件资料，完全理解食堂联合经营项目文件所有条款内容并同意放弃对这方面有不明白及误解的权利。</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3.参竞人对食堂联合经营项目文件有异议的，应在6月23日中午12:00以前提出，否则视同认可食堂联合经营项目文件所有要求。</w:t>
      </w:r>
    </w:p>
    <w:p>
      <w:pPr>
        <w:pStyle w:val="3"/>
        <w:tabs>
          <w:tab w:val="clear" w:pos="3360"/>
        </w:tabs>
        <w:spacing w:before="312" w:after="156" w:line="276" w:lineRule="auto"/>
        <w:ind w:firstLine="482" w:firstLineChars="200"/>
        <w:jc w:val="left"/>
        <w:rPr>
          <w:rFonts w:cs="宋体"/>
          <w:b/>
          <w:bCs/>
          <w:sz w:val="24"/>
          <w:szCs w:val="24"/>
          <w:highlight w:val="none"/>
        </w:rPr>
      </w:pPr>
      <w:bookmarkStart w:id="60" w:name="_Toc18771"/>
      <w:bookmarkStart w:id="61" w:name="_Toc422380991"/>
      <w:bookmarkStart w:id="62" w:name="_Toc24261"/>
      <w:r>
        <w:rPr>
          <w:rFonts w:hint="eastAsia" w:cs="宋体"/>
          <w:b/>
          <w:bCs/>
          <w:sz w:val="24"/>
          <w:szCs w:val="24"/>
          <w:highlight w:val="none"/>
        </w:rPr>
        <w:t>四、</w:t>
      </w:r>
      <w:bookmarkEnd w:id="60"/>
      <w:bookmarkEnd w:id="61"/>
      <w:r>
        <w:rPr>
          <w:rFonts w:hint="eastAsia" w:cs="宋体"/>
          <w:b/>
          <w:bCs/>
          <w:sz w:val="24"/>
          <w:szCs w:val="24"/>
          <w:highlight w:val="none"/>
        </w:rPr>
        <w:t>参竞文件</w:t>
      </w:r>
      <w:bookmarkEnd w:id="62"/>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参竞人应当按照食堂联合经营项目文件的要求编制参竞文件，并对食堂联合经营项目文件提出的要求和条件做出实质性响应。</w:t>
      </w:r>
    </w:p>
    <w:p>
      <w:pPr>
        <w:spacing w:line="276" w:lineRule="auto"/>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（一）参竞文件组成</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参竞文件由以下部分和参竞人所作的一切有效补充、修改和承诺等文件组成，参竞人应按照参竞文件格式”规定的目录顺序组织编写和装订，否则有可能影响参竞人的参竞文件响应程度得分。</w:t>
      </w:r>
    </w:p>
    <w:p>
      <w:pPr>
        <w:spacing w:line="276" w:lineRule="auto"/>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（二）参竞有效期</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参竞有效期为参竞截止日期后60天内。</w:t>
      </w:r>
    </w:p>
    <w:p>
      <w:pPr>
        <w:spacing w:line="276" w:lineRule="auto"/>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（三）参竞保证金</w:t>
      </w:r>
    </w:p>
    <w:p>
      <w:pPr>
        <w:spacing w:line="276" w:lineRule="auto"/>
        <w:ind w:firstLine="499" w:firstLineChars="208"/>
        <w:rPr>
          <w:rFonts w:ascii="宋体" w:hAnsi="宋体" w:eastAsia="宋体" w:cs="宋体"/>
          <w:sz w:val="24"/>
          <w:szCs w:val="24"/>
          <w:highlight w:val="none"/>
        </w:rPr>
      </w:pPr>
      <w:r>
        <w:rPr>
          <w:rFonts w:hint="eastAsia" w:ascii="宋体" w:hAnsi="宋体" w:eastAsia="宋体" w:cs="宋体"/>
          <w:sz w:val="24"/>
          <w:szCs w:val="24"/>
          <w:highlight w:val="none"/>
        </w:rPr>
        <w:t xml:space="preserve"> 1.参竞人按第一篇的要求缴纳参竞保证金。</w:t>
      </w:r>
    </w:p>
    <w:p>
      <w:pPr>
        <w:spacing w:line="276" w:lineRule="auto"/>
        <w:ind w:firstLine="720" w:firstLineChars="300"/>
        <w:rPr>
          <w:rFonts w:ascii="宋体" w:hAnsi="宋体" w:eastAsia="宋体"/>
          <w:bCs/>
          <w:sz w:val="24"/>
          <w:szCs w:val="24"/>
          <w:highlight w:val="none"/>
        </w:rPr>
      </w:pPr>
      <w:r>
        <w:rPr>
          <w:rFonts w:hint="eastAsia" w:ascii="宋体" w:hAnsi="宋体" w:eastAsia="宋体" w:cs="宋体"/>
          <w:bCs/>
          <w:sz w:val="24"/>
          <w:szCs w:val="24"/>
          <w:highlight w:val="none"/>
        </w:rPr>
        <w:t>2.评审结果公示无异议，拟成交人与学校签订合同时参竞保证金直接转为履约保证金；拟成交人与学校签订合同后，学校将按照退还保证金相关规定无息退还予其他非拟成交人。</w:t>
      </w:r>
    </w:p>
    <w:p>
      <w:pPr>
        <w:tabs>
          <w:tab w:val="left" w:pos="-180"/>
          <w:tab w:val="left" w:pos="0"/>
          <w:tab w:val="left" w:pos="1080"/>
          <w:tab w:val="left" w:pos="1260"/>
        </w:tabs>
        <w:spacing w:line="276" w:lineRule="auto"/>
        <w:ind w:firstLine="720" w:firstLineChars="300"/>
        <w:rPr>
          <w:rFonts w:ascii="宋体" w:hAnsi="宋体" w:eastAsia="宋体" w:cs="宋体"/>
          <w:sz w:val="24"/>
          <w:szCs w:val="24"/>
          <w:highlight w:val="none"/>
        </w:rPr>
      </w:pPr>
      <w:r>
        <w:rPr>
          <w:rStyle w:val="81"/>
          <w:rFonts w:hint="eastAsia" w:ascii="宋体" w:hAnsi="宋体" w:eastAsia="宋体" w:cs="宋体"/>
          <w:color w:val="000000"/>
          <w:sz w:val="24"/>
          <w:szCs w:val="24"/>
          <w:highlight w:val="none"/>
        </w:rPr>
        <w:t>3.</w:t>
      </w:r>
      <w:r>
        <w:rPr>
          <w:rFonts w:hint="eastAsia" w:ascii="宋体" w:hAnsi="宋体" w:eastAsia="宋体" w:cs="宋体"/>
          <w:sz w:val="24"/>
          <w:szCs w:val="24"/>
          <w:highlight w:val="none"/>
        </w:rPr>
        <w:t>发生以下情况之一者，参竞保证金不予退还：</w:t>
      </w:r>
    </w:p>
    <w:p>
      <w:pPr>
        <w:tabs>
          <w:tab w:val="left" w:pos="-180"/>
          <w:tab w:val="left" w:pos="0"/>
          <w:tab w:val="left" w:pos="1080"/>
          <w:tab w:val="left" w:pos="1260"/>
        </w:tabs>
        <w:spacing w:line="276" w:lineRule="auto"/>
        <w:ind w:firstLine="480" w:firstLineChars="200"/>
        <w:rPr>
          <w:rFonts w:ascii="宋体" w:hAnsi="宋体" w:eastAsia="宋体" w:cs="宋体"/>
          <w:bCs/>
          <w:sz w:val="24"/>
          <w:szCs w:val="24"/>
          <w:highlight w:val="none"/>
        </w:rPr>
      </w:pPr>
      <w:r>
        <w:rPr>
          <w:rStyle w:val="81"/>
          <w:rFonts w:hint="eastAsia" w:ascii="宋体" w:hAnsi="宋体" w:eastAsia="宋体" w:cs="宋体"/>
          <w:color w:val="000000"/>
          <w:sz w:val="24"/>
          <w:szCs w:val="24"/>
          <w:highlight w:val="none"/>
        </w:rPr>
        <w:t>（1）购买了食堂联合经营项目文件而放弃参竞的，须在现场评审开始</w:t>
      </w:r>
      <w:r>
        <w:rPr>
          <w:rStyle w:val="81"/>
          <w:rFonts w:hint="eastAsia" w:ascii="宋体" w:hAnsi="宋体" w:eastAsia="宋体" w:cs="宋体"/>
          <w:b/>
          <w:bCs/>
          <w:color w:val="000000"/>
          <w:sz w:val="24"/>
          <w:szCs w:val="24"/>
          <w:highlight w:val="none"/>
        </w:rPr>
        <w:t>前</w:t>
      </w:r>
      <w:r>
        <w:rPr>
          <w:rStyle w:val="81"/>
          <w:rFonts w:hint="eastAsia" w:ascii="宋体" w:hAnsi="宋体" w:eastAsia="宋体" w:cs="宋体"/>
          <w:color w:val="000000"/>
          <w:sz w:val="24"/>
          <w:szCs w:val="24"/>
          <w:highlight w:val="none"/>
        </w:rPr>
        <w:t>以书面形式通知学校；未予书面通知且缺席的参竞人将被取消参加该项目的参竞资格并扣除参竞保证金。</w:t>
      </w:r>
      <w:r>
        <w:rPr>
          <w:rFonts w:hint="eastAsia" w:ascii="宋体" w:hAnsi="宋体" w:eastAsia="宋体" w:cs="宋体"/>
          <w:bCs/>
          <w:sz w:val="24"/>
          <w:szCs w:val="24"/>
          <w:highlight w:val="none"/>
        </w:rPr>
        <w:t xml:space="preserve">    </w:t>
      </w:r>
    </w:p>
    <w:p>
      <w:pPr>
        <w:tabs>
          <w:tab w:val="left" w:pos="-180"/>
          <w:tab w:val="left" w:pos="0"/>
          <w:tab w:val="left" w:pos="1080"/>
          <w:tab w:val="left" w:pos="1260"/>
        </w:tabs>
        <w:spacing w:line="276" w:lineRule="auto"/>
        <w:ind w:firstLine="480" w:firstLineChars="200"/>
        <w:rPr>
          <w:rFonts w:ascii="宋体" w:hAnsi="宋体" w:eastAsia="宋体" w:cs="宋体"/>
          <w:sz w:val="24"/>
          <w:szCs w:val="24"/>
          <w:highlight w:val="none"/>
        </w:rPr>
      </w:pPr>
      <w:r>
        <w:rPr>
          <w:rFonts w:hint="eastAsia" w:ascii="宋体" w:hAnsi="宋体" w:eastAsia="宋体" w:cs="宋体"/>
          <w:bCs/>
          <w:sz w:val="24"/>
          <w:szCs w:val="24"/>
          <w:highlight w:val="none"/>
        </w:rPr>
        <w:t>（2）</w:t>
      </w:r>
      <w:r>
        <w:rPr>
          <w:rFonts w:hint="eastAsia" w:ascii="宋体" w:hAnsi="宋体" w:eastAsia="宋体" w:cs="宋体"/>
          <w:sz w:val="24"/>
          <w:szCs w:val="24"/>
          <w:highlight w:val="none"/>
        </w:rPr>
        <w:t>参竞人被通知拟成交后，拒绝按承诺签订合同，参竞保证金则不予退还，同时学校有权重新确定拟成交人。</w:t>
      </w:r>
    </w:p>
    <w:p>
      <w:pPr>
        <w:tabs>
          <w:tab w:val="left" w:pos="-180"/>
          <w:tab w:val="left" w:pos="0"/>
          <w:tab w:val="left" w:pos="1080"/>
          <w:tab w:val="left" w:pos="1260"/>
        </w:tabs>
        <w:spacing w:line="276"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（3）参竞人在投递参竞文件截止时间后，在规定的参竞有效期内撤销或对参竞文件做实质性修改。</w:t>
      </w:r>
    </w:p>
    <w:p>
      <w:pPr>
        <w:tabs>
          <w:tab w:val="left" w:pos="-180"/>
          <w:tab w:val="left" w:pos="0"/>
          <w:tab w:val="left" w:pos="1080"/>
          <w:tab w:val="left" w:pos="1260"/>
        </w:tabs>
        <w:spacing w:line="276"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（4）提供虚假资料参竞的。</w:t>
      </w:r>
    </w:p>
    <w:p>
      <w:pPr>
        <w:tabs>
          <w:tab w:val="left" w:pos="-180"/>
          <w:tab w:val="left" w:pos="0"/>
          <w:tab w:val="left" w:pos="1080"/>
          <w:tab w:val="left" w:pos="1260"/>
        </w:tabs>
        <w:spacing w:line="276" w:lineRule="auto"/>
        <w:rPr>
          <w:rFonts w:ascii="宋体" w:hAnsi="宋体" w:eastAsia="宋体" w:cs="宋体"/>
          <w:bCs/>
          <w:sz w:val="24"/>
          <w:szCs w:val="24"/>
          <w:highlight w:val="none"/>
        </w:rPr>
      </w:pPr>
      <w:r>
        <w:rPr>
          <w:rFonts w:hint="eastAsia" w:ascii="宋体" w:hAnsi="宋体" w:eastAsia="宋体" w:cs="宋体"/>
          <w:bCs/>
          <w:sz w:val="24"/>
          <w:szCs w:val="24"/>
          <w:highlight w:val="none"/>
        </w:rPr>
        <w:t xml:space="preserve">    （5）有“串标”等违法违规行为。</w:t>
      </w:r>
    </w:p>
    <w:p>
      <w:pPr>
        <w:tabs>
          <w:tab w:val="left" w:pos="-180"/>
          <w:tab w:val="left" w:pos="0"/>
          <w:tab w:val="left" w:pos="1080"/>
          <w:tab w:val="left" w:pos="1260"/>
        </w:tabs>
        <w:spacing w:line="276" w:lineRule="auto"/>
        <w:rPr>
          <w:rFonts w:ascii="宋体" w:hAnsi="宋体" w:eastAsia="宋体" w:cs="宋体"/>
          <w:bCs/>
          <w:sz w:val="24"/>
          <w:szCs w:val="24"/>
          <w:highlight w:val="none"/>
        </w:rPr>
      </w:pPr>
      <w:r>
        <w:rPr>
          <w:rFonts w:hint="eastAsia" w:ascii="宋体" w:hAnsi="宋体" w:eastAsia="宋体" w:cs="宋体"/>
          <w:bCs/>
          <w:sz w:val="24"/>
          <w:szCs w:val="24"/>
          <w:highlight w:val="none"/>
        </w:rPr>
        <w:t xml:space="preserve">    （6）采用虚假手段骗取拟成交的。</w:t>
      </w:r>
    </w:p>
    <w:p>
      <w:pPr>
        <w:spacing w:line="276" w:lineRule="auto"/>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（四）参竞文件的份数和签署</w:t>
      </w:r>
    </w:p>
    <w:p>
      <w:pPr>
        <w:tabs>
          <w:tab w:val="left" w:pos="-180"/>
          <w:tab w:val="left" w:pos="0"/>
          <w:tab w:val="left" w:pos="1080"/>
          <w:tab w:val="left" w:pos="1260"/>
        </w:tabs>
        <w:spacing w:line="276" w:lineRule="auto"/>
        <w:ind w:firstLine="480" w:firstLineChars="200"/>
        <w:rPr>
          <w:rFonts w:ascii="宋体" w:hAnsi="宋体" w:eastAsia="宋体" w:cs="宋体"/>
          <w:b/>
          <w:sz w:val="24"/>
          <w:szCs w:val="24"/>
          <w:highlight w:val="none"/>
        </w:rPr>
      </w:pPr>
      <w:r>
        <w:rPr>
          <w:rFonts w:hint="eastAsia" w:ascii="宋体" w:hAnsi="宋体" w:eastAsia="宋体" w:cs="宋体"/>
          <w:sz w:val="24"/>
          <w:szCs w:val="24"/>
          <w:highlight w:val="none"/>
        </w:rPr>
        <w:t>1</w:t>
      </w:r>
      <w:r>
        <w:rPr>
          <w:rFonts w:hint="eastAsia" w:ascii="宋体" w:hAnsi="宋体" w:eastAsia="宋体" w:cs="宋体"/>
          <w:bCs/>
          <w:sz w:val="24"/>
          <w:szCs w:val="24"/>
          <w:highlight w:val="none"/>
        </w:rPr>
        <w:t>.</w:t>
      </w:r>
      <w:r>
        <w:rPr>
          <w:rFonts w:hint="eastAsia"/>
          <w:highlight w:val="none"/>
        </w:rPr>
        <w:t xml:space="preserve"> </w:t>
      </w:r>
      <w:r>
        <w:rPr>
          <w:rFonts w:hint="eastAsia" w:ascii="宋体" w:hAnsi="宋体" w:eastAsia="宋体" w:cs="宋体"/>
          <w:bCs/>
          <w:sz w:val="24"/>
          <w:szCs w:val="24"/>
          <w:highlight w:val="none"/>
        </w:rPr>
        <w:t>参竞文件一式八份，其中正本一份，副本六份，</w:t>
      </w:r>
      <w:r>
        <w:rPr>
          <w:rFonts w:hint="eastAsia" w:ascii="宋体" w:hAnsi="宋体" w:eastAsia="宋体" w:cs="宋体"/>
          <w:b/>
          <w:sz w:val="24"/>
          <w:szCs w:val="24"/>
          <w:highlight w:val="none"/>
        </w:rPr>
        <w:t>一份电子版（载体为</w:t>
      </w:r>
      <w:r>
        <w:rPr>
          <w:rFonts w:ascii="宋体" w:hAnsi="宋体" w:eastAsia="宋体" w:cs="宋体"/>
          <w:b/>
          <w:sz w:val="24"/>
          <w:szCs w:val="24"/>
          <w:highlight w:val="none"/>
        </w:rPr>
        <w:t>U盘，内容为正本扫描文本，</w:t>
      </w:r>
      <w:r>
        <w:rPr>
          <w:rFonts w:hint="eastAsia" w:ascii="宋体" w:hAnsi="宋体" w:eastAsia="宋体" w:cs="宋体"/>
          <w:b/>
          <w:sz w:val="24"/>
          <w:szCs w:val="24"/>
          <w:highlight w:val="none"/>
          <w:lang w:val="en-US" w:eastAsia="zh-CN"/>
        </w:rPr>
        <w:t>匿名提交文件电子版U盘外不注明公司名称，</w:t>
      </w:r>
      <w:r>
        <w:rPr>
          <w:rFonts w:hint="eastAsia" w:ascii="宋体" w:hAnsi="宋体" w:eastAsia="宋体" w:cs="宋体"/>
          <w:b/>
          <w:sz w:val="24"/>
          <w:szCs w:val="24"/>
          <w:highlight w:val="none"/>
        </w:rPr>
        <w:t>非匿名提交文件电子版</w:t>
      </w:r>
      <w:r>
        <w:rPr>
          <w:rFonts w:ascii="宋体" w:hAnsi="宋体" w:eastAsia="宋体" w:cs="宋体"/>
          <w:b/>
          <w:sz w:val="24"/>
          <w:szCs w:val="24"/>
          <w:highlight w:val="none"/>
        </w:rPr>
        <w:t>U盘外注明公司名称）</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lang w:val="en-US" w:eastAsia="zh-CN"/>
        </w:rPr>
        <w:t>未按要求份数提交参竞文件的，不予评审</w:t>
      </w:r>
      <w:r>
        <w:rPr>
          <w:rFonts w:hint="eastAsia" w:ascii="宋体" w:hAnsi="宋体" w:eastAsia="宋体" w:cs="宋体"/>
          <w:b/>
          <w:sz w:val="24"/>
          <w:szCs w:val="24"/>
          <w:highlight w:val="none"/>
        </w:rPr>
        <w:t>。</w:t>
      </w:r>
      <w:r>
        <w:rPr>
          <w:rFonts w:hint="eastAsia" w:ascii="宋体" w:hAnsi="宋体" w:eastAsia="宋体" w:cs="宋体"/>
          <w:bCs/>
          <w:sz w:val="24"/>
          <w:szCs w:val="24"/>
          <w:highlight w:val="none"/>
        </w:rPr>
        <w:t>副本可为正本的复印件，必须与正本一致，如出现不一致情况以正本为准。所有参竞文件须装订成册，写明目录，标明页码。</w:t>
      </w:r>
    </w:p>
    <w:p>
      <w:pPr>
        <w:tabs>
          <w:tab w:val="left" w:pos="-180"/>
          <w:tab w:val="left" w:pos="0"/>
          <w:tab w:val="left" w:pos="1080"/>
          <w:tab w:val="left" w:pos="1260"/>
        </w:tabs>
        <w:spacing w:line="276" w:lineRule="auto"/>
        <w:ind w:firstLine="480" w:firstLineChars="200"/>
        <w:rPr>
          <w:rFonts w:ascii="宋体" w:hAnsi="宋体" w:eastAsia="宋体" w:cs="宋体"/>
          <w:sz w:val="24"/>
          <w:szCs w:val="24"/>
          <w:highlight w:val="none"/>
        </w:rPr>
      </w:pPr>
      <w:r>
        <w:rPr>
          <w:rFonts w:hint="eastAsia" w:ascii="宋体" w:hAnsi="宋体" w:eastAsia="宋体" w:cs="宋体"/>
          <w:bCs/>
          <w:sz w:val="24"/>
          <w:szCs w:val="24"/>
          <w:highlight w:val="none"/>
        </w:rPr>
        <w:t>2.参竞文件正本中，每一页均应由参竞人加盖公章，或者由参竞人法定代表人或授权代表签名</w:t>
      </w:r>
      <w:r>
        <w:rPr>
          <w:rFonts w:hint="eastAsia" w:ascii="宋体" w:hAnsi="宋体" w:eastAsia="宋体" w:cs="宋体"/>
          <w:sz w:val="24"/>
          <w:szCs w:val="24"/>
          <w:highlight w:val="none"/>
        </w:rPr>
        <w:t>，其中规定格式的文件应当按要求签名和加盖参竞人公章。</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3.若参竞人对参竞文件的错处作必要修改，则应在修改处加盖参竞人公章或由法人或法人授权代表签字确认。</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4.电报、电话、传真形式的参竞文件概不接受。</w:t>
      </w:r>
    </w:p>
    <w:p>
      <w:pPr>
        <w:spacing w:line="276" w:lineRule="auto"/>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（五）参竞报价</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参竞人应结合自身能力及各种因素编制报价预算书，进行报价。本项目涉及币种均为人民币。</w:t>
      </w:r>
    </w:p>
    <w:p>
      <w:pPr>
        <w:spacing w:line="276" w:lineRule="auto"/>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（六）修正错误</w:t>
      </w:r>
    </w:p>
    <w:p>
      <w:pPr>
        <w:tabs>
          <w:tab w:val="left" w:pos="-180"/>
          <w:tab w:val="left" w:pos="0"/>
          <w:tab w:val="left" w:pos="1080"/>
          <w:tab w:val="left" w:pos="1260"/>
        </w:tabs>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若参竞文件出现计算或表达上的错误，修正错误的原则如下：</w:t>
      </w:r>
    </w:p>
    <w:p>
      <w:pPr>
        <w:tabs>
          <w:tab w:val="left" w:pos="-180"/>
          <w:tab w:val="left" w:pos="0"/>
          <w:tab w:val="left" w:pos="1080"/>
          <w:tab w:val="left" w:pos="1260"/>
        </w:tabs>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1.报价一览表总价与参竞报价明细表汇总数不一致的，以报价一览表为准；</w:t>
      </w:r>
    </w:p>
    <w:p>
      <w:pPr>
        <w:tabs>
          <w:tab w:val="left" w:pos="-180"/>
          <w:tab w:val="left" w:pos="0"/>
          <w:tab w:val="left" w:pos="1080"/>
          <w:tab w:val="left" w:pos="1260"/>
        </w:tabs>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2.参竞文件的大写金额和小写金额不一致的，以大写金额为准；</w:t>
      </w:r>
    </w:p>
    <w:p>
      <w:pPr>
        <w:tabs>
          <w:tab w:val="left" w:pos="-180"/>
          <w:tab w:val="left" w:pos="0"/>
          <w:tab w:val="left" w:pos="1080"/>
          <w:tab w:val="left" w:pos="1260"/>
        </w:tabs>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3.总价金额与按单价汇总金额不一致的，以单价金额计算结果为准；</w:t>
      </w:r>
    </w:p>
    <w:p>
      <w:pPr>
        <w:tabs>
          <w:tab w:val="left" w:pos="-180"/>
          <w:tab w:val="left" w:pos="0"/>
          <w:tab w:val="left" w:pos="1080"/>
          <w:tab w:val="left" w:pos="1260"/>
        </w:tabs>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4.单价金额小数点有明显错位的，应以总价为准，并修正单价；</w:t>
      </w:r>
    </w:p>
    <w:p>
      <w:pPr>
        <w:tabs>
          <w:tab w:val="left" w:pos="-180"/>
          <w:tab w:val="left" w:pos="0"/>
          <w:tab w:val="left" w:pos="1080"/>
          <w:tab w:val="left" w:pos="1260"/>
        </w:tabs>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5.对不同文字文本参竞文件的解释发生异议的，以中文文本为准。</w:t>
      </w:r>
    </w:p>
    <w:p>
      <w:pPr>
        <w:tabs>
          <w:tab w:val="left" w:pos="-180"/>
          <w:tab w:val="left" w:pos="0"/>
          <w:tab w:val="left" w:pos="1080"/>
          <w:tab w:val="left" w:pos="1260"/>
        </w:tabs>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评审委员会按上述修正错误的原则及方法调整或修正参竞人参竞报价，参竞人同意并签字确认后，调整后的参竞报价对参竞人具有约束作用。如果参竞人不接受修正后的报价，则其参竞将作为无效参竞处理。</w:t>
      </w:r>
    </w:p>
    <w:p>
      <w:pPr>
        <w:numPr>
          <w:ilvl w:val="0"/>
          <w:numId w:val="22"/>
        </w:numPr>
        <w:kinsoku w:val="0"/>
        <w:overflowPunct w:val="0"/>
        <w:autoSpaceDE w:val="0"/>
        <w:autoSpaceDN w:val="0"/>
        <w:adjustRightInd w:val="0"/>
        <w:snapToGrid w:val="0"/>
        <w:spacing w:line="276" w:lineRule="auto"/>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参竞文件的递交</w:t>
      </w:r>
    </w:p>
    <w:p>
      <w:pPr>
        <w:kinsoku w:val="0"/>
        <w:overflowPunct w:val="0"/>
        <w:autoSpaceDE w:val="0"/>
        <w:autoSpaceDN w:val="0"/>
        <w:adjustRightInd w:val="0"/>
        <w:snapToGrid w:val="0"/>
        <w:spacing w:line="276" w:lineRule="auto"/>
        <w:rPr>
          <w:rFonts w:ascii="方正仿宋_GBK" w:hAnsi="方正仿宋_GBK" w:eastAsia="方正仿宋_GBK" w:cs="方正仿宋_GBK"/>
          <w:kern w:val="24"/>
          <w:sz w:val="28"/>
          <w:szCs w:val="28"/>
          <w:highlight w:val="none"/>
        </w:rPr>
      </w:pPr>
      <w:r>
        <w:rPr>
          <w:rFonts w:ascii="宋体" w:hAnsi="宋体" w:eastAsia="宋体" w:cs="宋体"/>
          <w:sz w:val="24"/>
          <w:szCs w:val="24"/>
          <w:highlight w:val="none"/>
        </w:rPr>
        <w:t xml:space="preserve">   </w:t>
      </w:r>
      <w:r>
        <w:rPr>
          <w:rFonts w:hint="eastAsia" w:ascii="方正仿宋_GBK" w:hAnsi="方正仿宋_GBK" w:eastAsia="方正仿宋_GBK" w:cs="方正仿宋_GBK"/>
          <w:kern w:val="24"/>
          <w:sz w:val="28"/>
          <w:szCs w:val="28"/>
          <w:highlight w:val="none"/>
        </w:rPr>
        <w:t>1.</w:t>
      </w:r>
      <w:r>
        <w:rPr>
          <w:rFonts w:hint="eastAsia" w:ascii="宋体" w:hAnsi="宋体" w:eastAsia="宋体" w:cs="宋体"/>
          <w:sz w:val="24"/>
          <w:szCs w:val="24"/>
          <w:highlight w:val="none"/>
        </w:rPr>
        <w:t>菜品管理方案、食品加工规范方案、原材料采购方案、安全卫生管理方案、应急保障方案、食堂环境改善方案、智慧食堂建设方案、设施设备投入方案、其他优惠、劳动育人方案应与其他非匿名提交资料分开，</w:t>
      </w:r>
      <w:r>
        <w:rPr>
          <w:rFonts w:hint="eastAsia" w:ascii="宋体" w:hAnsi="宋体" w:eastAsia="宋体" w:cs="宋体"/>
          <w:b/>
          <w:bCs/>
          <w:sz w:val="28"/>
          <w:szCs w:val="28"/>
          <w:highlight w:val="none"/>
        </w:rPr>
        <w:t>双面打印</w:t>
      </w:r>
      <w:r>
        <w:rPr>
          <w:rFonts w:hint="eastAsia" w:ascii="宋体" w:hAnsi="宋体" w:eastAsia="宋体" w:cs="宋体"/>
          <w:sz w:val="24"/>
          <w:szCs w:val="24"/>
          <w:highlight w:val="none"/>
        </w:rPr>
        <w:t>，整体装订，采取匿名方式单独提交</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方案封面统一用白色A4纸张，不得有文字、图案等任何内容。</w:t>
      </w:r>
      <w:r>
        <w:rPr>
          <w:rFonts w:hint="eastAsia" w:ascii="宋体" w:hAnsi="宋体" w:eastAsia="宋体" w:cs="宋体"/>
          <w:sz w:val="24"/>
          <w:szCs w:val="24"/>
          <w:highlight w:val="none"/>
        </w:rPr>
        <w:t>方案及封装封面均不得载有任何可能明示或暗示表明参竞人信息，否则视为无效方案</w:t>
      </w:r>
      <w:r>
        <w:rPr>
          <w:rFonts w:hint="eastAsia" w:ascii="宋体" w:hAnsi="宋体" w:eastAsia="宋体" w:cs="宋体"/>
          <w:sz w:val="24"/>
          <w:szCs w:val="24"/>
          <w:highlight w:val="none"/>
          <w:lang w:val="en-US" w:eastAsia="zh-CN"/>
        </w:rPr>
        <w:t>，方案部分得0分</w:t>
      </w:r>
      <w:r>
        <w:rPr>
          <w:rFonts w:hint="eastAsia" w:ascii="宋体" w:hAnsi="宋体" w:eastAsia="宋体" w:cs="宋体"/>
          <w:sz w:val="24"/>
          <w:szCs w:val="24"/>
          <w:highlight w:val="none"/>
        </w:rPr>
        <w:t>。</w:t>
      </w:r>
    </w:p>
    <w:p>
      <w:pPr>
        <w:pStyle w:val="237"/>
        <w:numPr>
          <w:ilvl w:val="0"/>
          <w:numId w:val="19"/>
        </w:numPr>
        <w:kinsoku w:val="0"/>
        <w:overflowPunct w:val="0"/>
        <w:autoSpaceDE w:val="0"/>
        <w:autoSpaceDN w:val="0"/>
        <w:adjustRightInd w:val="0"/>
        <w:snapToGrid w:val="0"/>
        <w:spacing w:line="276" w:lineRule="auto"/>
        <w:ind w:left="840" w:hanging="360" w:firstLineChars="0"/>
        <w:rPr>
          <w:rFonts w:ascii="宋体" w:hAnsi="宋体" w:cs="宋体"/>
          <w:sz w:val="24"/>
          <w:szCs w:val="24"/>
          <w:highlight w:val="none"/>
        </w:rPr>
      </w:pPr>
      <w:r>
        <w:rPr>
          <w:rFonts w:hint="eastAsia" w:ascii="宋体" w:hAnsi="宋体" w:cs="宋体"/>
          <w:sz w:val="24"/>
          <w:szCs w:val="24"/>
          <w:highlight w:val="none"/>
        </w:rPr>
        <w:t>2</w:t>
      </w:r>
      <w:r>
        <w:rPr>
          <w:rFonts w:ascii="宋体" w:hAnsi="宋体" w:cs="宋体"/>
          <w:sz w:val="24"/>
          <w:szCs w:val="24"/>
          <w:highlight w:val="none"/>
        </w:rPr>
        <w:t>025</w:t>
      </w:r>
      <w:r>
        <w:rPr>
          <w:rFonts w:hint="eastAsia" w:ascii="宋体" w:hAnsi="宋体" w:cs="宋体"/>
          <w:sz w:val="24"/>
          <w:szCs w:val="24"/>
          <w:highlight w:val="none"/>
        </w:rPr>
        <w:t>年6月3</w:t>
      </w:r>
      <w:r>
        <w:rPr>
          <w:rFonts w:ascii="宋体" w:hAnsi="宋体" w:cs="宋体"/>
          <w:sz w:val="24"/>
          <w:szCs w:val="24"/>
          <w:highlight w:val="none"/>
        </w:rPr>
        <w:t>0</w:t>
      </w:r>
      <w:r>
        <w:rPr>
          <w:rFonts w:hint="eastAsia" w:ascii="宋体" w:hAnsi="宋体" w:cs="宋体"/>
          <w:sz w:val="24"/>
          <w:szCs w:val="24"/>
          <w:highlight w:val="none"/>
        </w:rPr>
        <w:t>日仍</w:t>
      </w:r>
      <w:r>
        <w:rPr>
          <w:rFonts w:ascii="宋体" w:hAnsi="宋体" w:cs="宋体"/>
          <w:sz w:val="24"/>
          <w:szCs w:val="24"/>
          <w:highlight w:val="none"/>
        </w:rPr>
        <w:t>经营的高校食堂</w:t>
      </w:r>
      <w:r>
        <w:rPr>
          <w:rFonts w:hint="eastAsia" w:ascii="宋体" w:hAnsi="宋体" w:cs="宋体"/>
          <w:b/>
          <w:kern w:val="24"/>
          <w:sz w:val="24"/>
          <w:szCs w:val="24"/>
          <w:highlight w:val="none"/>
        </w:rPr>
        <w:t>基本情况表（内容须涵盖项目名称、项目地址、经</w:t>
      </w:r>
    </w:p>
    <w:p>
      <w:pPr>
        <w:pStyle w:val="237"/>
        <w:numPr>
          <w:ilvl w:val="255"/>
          <w:numId w:val="0"/>
        </w:numPr>
        <w:kinsoku w:val="0"/>
        <w:overflowPunct w:val="0"/>
        <w:autoSpaceDE w:val="0"/>
        <w:autoSpaceDN w:val="0"/>
        <w:adjustRightInd w:val="0"/>
        <w:snapToGrid w:val="0"/>
        <w:spacing w:line="276" w:lineRule="auto"/>
        <w:ind w:left="0" w:firstLine="482" w:firstLineChars="200"/>
        <w:rPr>
          <w:rFonts w:ascii="宋体" w:hAnsi="宋体" w:cs="宋体"/>
          <w:b/>
          <w:kern w:val="24"/>
          <w:sz w:val="24"/>
          <w:szCs w:val="24"/>
          <w:highlight w:val="none"/>
        </w:rPr>
      </w:pPr>
      <w:r>
        <w:rPr>
          <w:rFonts w:hint="eastAsia" w:ascii="宋体" w:hAnsi="宋体" w:cs="宋体"/>
          <w:b/>
          <w:kern w:val="24"/>
          <w:sz w:val="24"/>
          <w:szCs w:val="24"/>
          <w:highlight w:val="none"/>
        </w:rPr>
        <w:t>营面积、累计经营时间、座位数量、用户单位联系人电话等基本信息并加盖用户单位公章。多个经营场地须按重要性进行先后排序。）</w:t>
      </w:r>
    </w:p>
    <w:p>
      <w:pPr>
        <w:pStyle w:val="237"/>
        <w:numPr>
          <w:ilvl w:val="255"/>
          <w:numId w:val="0"/>
        </w:numPr>
        <w:kinsoku w:val="0"/>
        <w:overflowPunct w:val="0"/>
        <w:autoSpaceDE w:val="0"/>
        <w:autoSpaceDN w:val="0"/>
        <w:adjustRightInd w:val="0"/>
        <w:snapToGrid w:val="0"/>
        <w:spacing w:line="276" w:lineRule="auto"/>
        <w:ind w:firstLine="482" w:firstLineChars="200"/>
        <w:rPr>
          <w:rFonts w:ascii="宋体" w:hAnsi="宋体" w:cs="宋体"/>
          <w:sz w:val="24"/>
          <w:szCs w:val="24"/>
          <w:highlight w:val="none"/>
        </w:rPr>
      </w:pPr>
      <w:r>
        <w:rPr>
          <w:rFonts w:hint="eastAsia" w:ascii="宋体" w:hAnsi="宋体" w:cs="宋体"/>
          <w:b/>
          <w:kern w:val="24"/>
          <w:sz w:val="24"/>
          <w:szCs w:val="24"/>
          <w:highlight w:val="none"/>
        </w:rPr>
        <w:t xml:space="preserve">3. </w:t>
      </w:r>
      <w:r>
        <w:rPr>
          <w:rFonts w:ascii="宋体" w:hAnsi="宋体" w:cs="宋体"/>
          <w:sz w:val="24"/>
          <w:szCs w:val="24"/>
          <w:highlight w:val="none"/>
        </w:rPr>
        <w:t>参竞文件的密封与标记</w:t>
      </w:r>
    </w:p>
    <w:p>
      <w:pPr>
        <w:kinsoku w:val="0"/>
        <w:overflowPunct w:val="0"/>
        <w:autoSpaceDE w:val="0"/>
        <w:autoSpaceDN w:val="0"/>
        <w:adjustRightInd w:val="0"/>
        <w:snapToGrid w:val="0"/>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参竞文件（除菜品管理方案、装修食品加工规范方案、原材料采购方案、安全卫生管理方案、应急保障方案、食堂环境改善方案、智慧食堂建设方案、设施设备投入方案、其他优惠、劳动育人方案以外的文件）的正本、副本均</w:t>
      </w:r>
      <w:r>
        <w:rPr>
          <w:rFonts w:hint="eastAsia" w:ascii="宋体" w:hAnsi="宋体" w:eastAsia="宋体" w:cs="宋体"/>
          <w:b/>
          <w:bCs/>
          <w:sz w:val="28"/>
          <w:szCs w:val="28"/>
          <w:highlight w:val="none"/>
        </w:rPr>
        <w:t>双面打印</w:t>
      </w:r>
      <w:r>
        <w:rPr>
          <w:rFonts w:hint="eastAsia" w:ascii="宋体" w:hAnsi="宋体" w:eastAsia="宋体" w:cs="宋体"/>
          <w:sz w:val="24"/>
          <w:szCs w:val="24"/>
          <w:highlight w:val="none"/>
        </w:rPr>
        <w:t>密封，封面注明项目名称、分包号、参竞人名称地址、“正本”、“副本”字样及“不准提前启封”字样。封口须加盖参竞人公章或授权代表签字。</w:t>
      </w:r>
    </w:p>
    <w:p>
      <w:pPr>
        <w:numPr>
          <w:ilvl w:val="0"/>
          <w:numId w:val="23"/>
        </w:numPr>
        <w:kinsoku w:val="0"/>
        <w:overflowPunct w:val="0"/>
        <w:autoSpaceDE w:val="0"/>
        <w:autoSpaceDN w:val="0"/>
        <w:adjustRightInd w:val="0"/>
        <w:snapToGrid w:val="0"/>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匿名参竞文件和非匿名参竞文件电子版分别与纸质版分开密封提交。</w:t>
      </w:r>
    </w:p>
    <w:p>
      <w:pPr>
        <w:numPr>
          <w:ilvl w:val="0"/>
          <w:numId w:val="23"/>
        </w:numPr>
        <w:kinsoku w:val="0"/>
        <w:overflowPunct w:val="0"/>
        <w:autoSpaceDE w:val="0"/>
        <w:autoSpaceDN w:val="0"/>
        <w:adjustRightInd w:val="0"/>
        <w:snapToGrid w:val="0"/>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资质证件、证明材料等原件需携带至参竞现场，以备查验；自行保存，不提交。</w:t>
      </w:r>
    </w:p>
    <w:p>
      <w:pPr>
        <w:pStyle w:val="3"/>
        <w:keepLines w:val="0"/>
        <w:tabs>
          <w:tab w:val="clear" w:pos="3360"/>
        </w:tabs>
        <w:kinsoku w:val="0"/>
        <w:overflowPunct w:val="0"/>
        <w:autoSpaceDE w:val="0"/>
        <w:autoSpaceDN w:val="0"/>
        <w:snapToGrid w:val="0"/>
        <w:spacing w:before="312" w:after="156" w:line="276" w:lineRule="auto"/>
        <w:ind w:firstLine="482" w:firstLineChars="200"/>
        <w:jc w:val="left"/>
        <w:rPr>
          <w:rFonts w:cs="宋体"/>
          <w:b/>
          <w:bCs/>
          <w:sz w:val="24"/>
          <w:szCs w:val="24"/>
          <w:highlight w:val="none"/>
        </w:rPr>
      </w:pPr>
      <w:bookmarkStart w:id="63" w:name="_Toc32278"/>
      <w:bookmarkStart w:id="64" w:name="_Toc422380992"/>
      <w:bookmarkStart w:id="65" w:name="_Toc28229"/>
      <w:r>
        <w:rPr>
          <w:rFonts w:hint="eastAsia" w:cs="宋体"/>
          <w:b/>
          <w:bCs/>
          <w:sz w:val="24"/>
          <w:szCs w:val="24"/>
          <w:highlight w:val="none"/>
        </w:rPr>
        <w:t>五、</w:t>
      </w:r>
      <w:bookmarkEnd w:id="63"/>
      <w:bookmarkEnd w:id="64"/>
      <w:r>
        <w:rPr>
          <w:rFonts w:hint="eastAsia" w:cs="宋体"/>
          <w:b/>
          <w:bCs/>
          <w:sz w:val="24"/>
          <w:szCs w:val="24"/>
          <w:highlight w:val="none"/>
        </w:rPr>
        <w:t>现场评审</w:t>
      </w:r>
      <w:bookmarkEnd w:id="65"/>
    </w:p>
    <w:p>
      <w:pPr>
        <w:pStyle w:val="3"/>
        <w:keepLines w:val="0"/>
        <w:tabs>
          <w:tab w:val="clear" w:pos="3360"/>
        </w:tabs>
        <w:kinsoku w:val="0"/>
        <w:overflowPunct w:val="0"/>
        <w:autoSpaceDE w:val="0"/>
        <w:autoSpaceDN w:val="0"/>
        <w:snapToGrid w:val="0"/>
        <w:spacing w:before="312" w:after="156" w:line="276" w:lineRule="auto"/>
        <w:ind w:firstLine="480" w:firstLineChars="200"/>
        <w:jc w:val="left"/>
        <w:rPr>
          <w:rFonts w:cs="宋体"/>
          <w:sz w:val="24"/>
          <w:szCs w:val="24"/>
          <w:highlight w:val="none"/>
        </w:rPr>
      </w:pPr>
      <w:bookmarkStart w:id="66" w:name="_Toc29415"/>
      <w:bookmarkStart w:id="67" w:name="_Toc17978"/>
      <w:bookmarkStart w:id="68" w:name="_Toc19758"/>
      <w:r>
        <w:rPr>
          <w:rFonts w:hint="eastAsia" w:cs="宋体"/>
          <w:sz w:val="24"/>
          <w:szCs w:val="24"/>
          <w:highlight w:val="none"/>
        </w:rPr>
        <w:t>（一）参竞人须至少为3人，方可现场评审。</w:t>
      </w:r>
      <w:bookmarkEnd w:id="66"/>
      <w:bookmarkEnd w:id="67"/>
      <w:bookmarkEnd w:id="68"/>
    </w:p>
    <w:p>
      <w:pPr>
        <w:kinsoku w:val="0"/>
        <w:overflowPunct w:val="0"/>
        <w:autoSpaceDE w:val="0"/>
        <w:autoSpaceDN w:val="0"/>
        <w:adjustRightInd w:val="0"/>
        <w:snapToGrid w:val="0"/>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（二）现场评审时，应当由参竞人或者其授权的人检查参竞文件的密封情况，经确认密封完好的参竞文件，由评审人员当众拆封，宣读参竞人参竞文件“报价表”的参竞人名称和经济部分报价。</w:t>
      </w:r>
    </w:p>
    <w:p>
      <w:pPr>
        <w:kinsoku w:val="0"/>
        <w:overflowPunct w:val="0"/>
        <w:autoSpaceDE w:val="0"/>
        <w:autoSpaceDN w:val="0"/>
        <w:adjustRightInd w:val="0"/>
        <w:snapToGrid w:val="0"/>
        <w:spacing w:line="276" w:lineRule="auto"/>
        <w:ind w:firstLine="482" w:firstLineChars="200"/>
        <w:rPr>
          <w:rFonts w:ascii="宋体" w:hAnsi="宋体" w:eastAsia="宋体" w:cs="宋体"/>
          <w:sz w:val="24"/>
          <w:szCs w:val="24"/>
          <w:highlight w:val="none"/>
        </w:rPr>
      </w:pPr>
      <w:r>
        <w:rPr>
          <w:rFonts w:hint="eastAsia" w:ascii="宋体" w:hAnsi="宋体" w:eastAsia="宋体" w:cs="宋体"/>
          <w:b/>
          <w:bCs/>
          <w:sz w:val="24"/>
          <w:szCs w:val="24"/>
          <w:highlight w:val="none"/>
        </w:rPr>
        <w:t>（三）</w:t>
      </w:r>
      <w:r>
        <w:rPr>
          <w:rFonts w:hint="eastAsia" w:ascii="宋体" w:hAnsi="宋体" w:eastAsia="宋体" w:cs="宋体"/>
          <w:sz w:val="24"/>
          <w:szCs w:val="24"/>
          <w:highlight w:val="none"/>
        </w:rPr>
        <w:t>现场评审过程应指定专人负责记录，并存档备查。</w:t>
      </w:r>
    </w:p>
    <w:p>
      <w:pPr>
        <w:kinsoku w:val="0"/>
        <w:overflowPunct w:val="0"/>
        <w:autoSpaceDE w:val="0"/>
        <w:autoSpaceDN w:val="0"/>
        <w:adjustRightInd w:val="0"/>
        <w:snapToGrid w:val="0"/>
        <w:spacing w:line="276" w:lineRule="auto"/>
        <w:rPr>
          <w:rFonts w:ascii="宋体" w:hAnsi="宋体" w:eastAsia="宋体" w:cs="宋体"/>
          <w:b/>
          <w:color w:val="FF0000"/>
          <w:sz w:val="24"/>
          <w:szCs w:val="24"/>
          <w:highlight w:val="none"/>
        </w:rPr>
      </w:pPr>
      <w:bookmarkStart w:id="69" w:name="_Toc422380993"/>
      <w:r>
        <w:rPr>
          <w:rFonts w:hint="eastAsia" w:ascii="宋体" w:hAnsi="宋体" w:eastAsia="宋体" w:cs="宋体"/>
          <w:b/>
          <w:color w:val="FF0000"/>
          <w:sz w:val="24"/>
          <w:szCs w:val="24"/>
          <w:highlight w:val="none"/>
        </w:rPr>
        <w:t xml:space="preserve"> </w:t>
      </w:r>
      <w:r>
        <w:rPr>
          <w:rFonts w:hint="eastAsia" w:ascii="宋体" w:hAnsi="宋体" w:eastAsia="宋体" w:cs="宋体"/>
          <w:b/>
          <w:sz w:val="24"/>
          <w:szCs w:val="24"/>
          <w:highlight w:val="none"/>
        </w:rPr>
        <w:t xml:space="preserve"> </w:t>
      </w:r>
      <w:r>
        <w:rPr>
          <w:rFonts w:hint="eastAsia" w:ascii="宋体" w:hAnsi="宋体" w:eastAsia="宋体" w:cs="宋体"/>
          <w:bCs/>
          <w:sz w:val="24"/>
          <w:szCs w:val="24"/>
          <w:highlight w:val="none"/>
        </w:rPr>
        <w:t xml:space="preserve"> （四）</w:t>
      </w:r>
      <w:r>
        <w:rPr>
          <w:rFonts w:hint="eastAsia" w:ascii="宋体" w:hAnsi="宋体" w:eastAsia="宋体" w:cs="宋体"/>
          <w:sz w:val="24"/>
          <w:szCs w:val="24"/>
          <w:highlight w:val="none"/>
        </w:rPr>
        <w:t>本项目报价共1次：递交报价文件时的报价即为最终报价。</w:t>
      </w:r>
    </w:p>
    <w:p>
      <w:pPr>
        <w:pStyle w:val="3"/>
        <w:keepLines w:val="0"/>
        <w:tabs>
          <w:tab w:val="clear" w:pos="3360"/>
        </w:tabs>
        <w:kinsoku w:val="0"/>
        <w:overflowPunct w:val="0"/>
        <w:autoSpaceDE w:val="0"/>
        <w:autoSpaceDN w:val="0"/>
        <w:snapToGrid w:val="0"/>
        <w:spacing w:before="312" w:after="156" w:line="276" w:lineRule="auto"/>
        <w:ind w:firstLine="482" w:firstLineChars="200"/>
        <w:jc w:val="left"/>
        <w:rPr>
          <w:rFonts w:cs="宋体"/>
          <w:b/>
          <w:bCs/>
          <w:sz w:val="24"/>
          <w:szCs w:val="24"/>
          <w:highlight w:val="none"/>
        </w:rPr>
      </w:pPr>
      <w:bookmarkStart w:id="70" w:name="_Toc5142"/>
      <w:bookmarkStart w:id="71" w:name="_Toc20386"/>
      <w:r>
        <w:rPr>
          <w:rFonts w:hint="eastAsia" w:cs="宋体"/>
          <w:b/>
          <w:bCs/>
          <w:sz w:val="24"/>
          <w:szCs w:val="24"/>
          <w:highlight w:val="none"/>
        </w:rPr>
        <w:t>六、</w:t>
      </w:r>
      <w:bookmarkEnd w:id="69"/>
      <w:bookmarkEnd w:id="70"/>
      <w:r>
        <w:rPr>
          <w:rFonts w:hint="eastAsia" w:cs="宋体"/>
          <w:b/>
          <w:bCs/>
          <w:sz w:val="24"/>
          <w:szCs w:val="24"/>
          <w:highlight w:val="none"/>
        </w:rPr>
        <w:t>评审</w:t>
      </w:r>
      <w:bookmarkEnd w:id="71"/>
    </w:p>
    <w:p>
      <w:pPr>
        <w:kinsoku w:val="0"/>
        <w:overflowPunct w:val="0"/>
        <w:autoSpaceDE w:val="0"/>
        <w:autoSpaceDN w:val="0"/>
        <w:adjustRightInd w:val="0"/>
        <w:snapToGrid w:val="0"/>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详见第三篇内容。</w:t>
      </w:r>
    </w:p>
    <w:p>
      <w:pPr>
        <w:pStyle w:val="3"/>
        <w:keepLines w:val="0"/>
        <w:tabs>
          <w:tab w:val="clear" w:pos="3360"/>
        </w:tabs>
        <w:kinsoku w:val="0"/>
        <w:overflowPunct w:val="0"/>
        <w:autoSpaceDE w:val="0"/>
        <w:autoSpaceDN w:val="0"/>
        <w:snapToGrid w:val="0"/>
        <w:spacing w:before="312" w:after="156" w:line="276" w:lineRule="auto"/>
        <w:ind w:firstLine="482" w:firstLineChars="200"/>
        <w:jc w:val="left"/>
        <w:rPr>
          <w:rFonts w:cs="宋体"/>
          <w:b/>
          <w:bCs/>
          <w:sz w:val="24"/>
          <w:szCs w:val="24"/>
          <w:highlight w:val="none"/>
        </w:rPr>
      </w:pPr>
      <w:bookmarkStart w:id="72" w:name="_Toc422380994"/>
      <w:bookmarkStart w:id="73" w:name="_Toc18127"/>
      <w:bookmarkStart w:id="74" w:name="_Toc21609"/>
      <w:r>
        <w:rPr>
          <w:rFonts w:hint="eastAsia" w:cs="宋体"/>
          <w:b/>
          <w:bCs/>
          <w:sz w:val="24"/>
          <w:szCs w:val="24"/>
          <w:highlight w:val="none"/>
        </w:rPr>
        <w:t>七、</w:t>
      </w:r>
      <w:bookmarkEnd w:id="72"/>
      <w:bookmarkEnd w:id="73"/>
      <w:r>
        <w:rPr>
          <w:rFonts w:hint="eastAsia" w:cs="宋体"/>
          <w:b/>
          <w:bCs/>
          <w:sz w:val="24"/>
          <w:szCs w:val="24"/>
          <w:highlight w:val="none"/>
        </w:rPr>
        <w:t>拟成交人确定</w:t>
      </w:r>
      <w:bookmarkEnd w:id="74"/>
    </w:p>
    <w:p>
      <w:pPr>
        <w:kinsoku w:val="0"/>
        <w:overflowPunct w:val="0"/>
        <w:autoSpaceDE w:val="0"/>
        <w:autoSpaceDN w:val="0"/>
        <w:adjustRightInd w:val="0"/>
        <w:snapToGrid w:val="0"/>
        <w:spacing w:line="276" w:lineRule="auto"/>
        <w:ind w:firstLine="480" w:firstLineChars="200"/>
        <w:rPr>
          <w:rFonts w:ascii="宋体" w:hAnsi="宋体" w:eastAsia="宋体" w:cs="宋体"/>
          <w:kern w:val="0"/>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w:t>
      </w:r>
      <w:r>
        <w:rPr>
          <w:rFonts w:hint="eastAsia" w:ascii="宋体" w:hAnsi="宋体" w:eastAsia="宋体" w:cs="宋体"/>
          <w:sz w:val="24"/>
          <w:szCs w:val="24"/>
          <w:highlight w:val="none"/>
        </w:rPr>
        <w:t>根据成交原则确定拟成交人。</w:t>
      </w:r>
    </w:p>
    <w:p>
      <w:pPr>
        <w:kinsoku w:val="0"/>
        <w:overflowPunct w:val="0"/>
        <w:autoSpaceDE w:val="0"/>
        <w:autoSpaceDN w:val="0"/>
        <w:adjustRightInd w:val="0"/>
        <w:snapToGrid w:val="0"/>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2.</w:t>
      </w:r>
      <w:r>
        <w:rPr>
          <w:rFonts w:hint="eastAsia" w:ascii="宋体" w:hAnsi="宋体" w:eastAsia="宋体" w:cs="宋体"/>
          <w:sz w:val="24"/>
          <w:szCs w:val="24"/>
          <w:highlight w:val="none"/>
        </w:rPr>
        <w:t>拟成交结果将在评审结束后公示于四川外国语大学校园网，公示时间为五个工作日。</w:t>
      </w:r>
    </w:p>
    <w:p>
      <w:pPr>
        <w:spacing w:line="276"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3</w:t>
      </w:r>
      <w:r>
        <w:rPr>
          <w:rFonts w:hint="eastAsia" w:ascii="宋体" w:hAnsi="宋体" w:eastAsia="宋体" w:cs="宋体"/>
          <w:sz w:val="24"/>
          <w:szCs w:val="24"/>
          <w:highlight w:val="none"/>
        </w:rPr>
        <w:t>.经公示结束后，向拟成交人发送拟成交通知书。</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拟成交通知书发出后，学校改变拟成交结果，或者拟成交人放弃拟成交，应当承担相应的法律责任。</w:t>
      </w:r>
    </w:p>
    <w:p>
      <w:pPr>
        <w:pStyle w:val="3"/>
        <w:tabs>
          <w:tab w:val="clear" w:pos="3360"/>
        </w:tabs>
        <w:spacing w:before="312" w:after="156" w:line="276" w:lineRule="auto"/>
        <w:ind w:firstLine="482" w:firstLineChars="200"/>
        <w:jc w:val="left"/>
        <w:rPr>
          <w:rFonts w:cs="宋体"/>
          <w:b/>
          <w:bCs/>
          <w:sz w:val="24"/>
          <w:szCs w:val="24"/>
          <w:highlight w:val="none"/>
        </w:rPr>
      </w:pPr>
      <w:bookmarkStart w:id="75" w:name="_Toc9369"/>
      <w:bookmarkStart w:id="76" w:name="_Toc439"/>
      <w:bookmarkStart w:id="77" w:name="_Toc422380996"/>
      <w:r>
        <w:rPr>
          <w:rFonts w:hint="eastAsia" w:cs="宋体"/>
          <w:b/>
          <w:bCs/>
          <w:sz w:val="24"/>
          <w:szCs w:val="24"/>
          <w:highlight w:val="none"/>
        </w:rPr>
        <w:t>八、参竞人对拟成交结果的异议、投诉</w:t>
      </w:r>
      <w:bookmarkEnd w:id="75"/>
      <w:bookmarkEnd w:id="76"/>
      <w:bookmarkEnd w:id="77"/>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（一）参竞人对拟成交公告有异议的，应当在公示期内内，以书面形式向项目办公室提出质疑。</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（二）项目办公室应当在收到书面质疑后七个工作日内，对质疑内容做出答复。</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（三）未在规定时间内答复的或者参竞人对答复不满意，可以在答复期满后十个工作日内向学校投诉。</w:t>
      </w:r>
    </w:p>
    <w:p>
      <w:pPr>
        <w:pStyle w:val="3"/>
        <w:tabs>
          <w:tab w:val="clear" w:pos="3360"/>
        </w:tabs>
        <w:spacing w:before="312" w:after="156" w:line="276" w:lineRule="auto"/>
        <w:ind w:firstLine="482" w:firstLineChars="200"/>
        <w:jc w:val="left"/>
        <w:rPr>
          <w:rFonts w:cs="宋体"/>
          <w:b/>
          <w:bCs/>
          <w:sz w:val="24"/>
          <w:szCs w:val="24"/>
          <w:highlight w:val="none"/>
        </w:rPr>
      </w:pPr>
      <w:bookmarkStart w:id="78" w:name="_Toc13277"/>
      <w:bookmarkStart w:id="79" w:name="_Toc422380997"/>
      <w:bookmarkStart w:id="80" w:name="_Toc20398"/>
      <w:r>
        <w:rPr>
          <w:rFonts w:hint="eastAsia" w:cs="宋体"/>
          <w:b/>
          <w:bCs/>
          <w:sz w:val="24"/>
          <w:szCs w:val="24"/>
          <w:highlight w:val="none"/>
        </w:rPr>
        <w:t>九、签订合同</w:t>
      </w:r>
      <w:bookmarkEnd w:id="78"/>
      <w:bookmarkEnd w:id="79"/>
      <w:bookmarkEnd w:id="80"/>
    </w:p>
    <w:p>
      <w:pPr>
        <w:numPr>
          <w:ilvl w:val="0"/>
          <w:numId w:val="24"/>
        </w:numPr>
        <w:tabs>
          <w:tab w:val="left" w:pos="720"/>
          <w:tab w:val="clear" w:pos="1047"/>
        </w:tabs>
        <w:spacing w:line="276" w:lineRule="auto"/>
        <w:ind w:left="-3" w:firstLine="542" w:firstLineChars="226"/>
        <w:rPr>
          <w:rFonts w:ascii="宋体" w:hAnsi="宋体" w:eastAsia="宋体" w:cs="宋体"/>
          <w:sz w:val="24"/>
          <w:szCs w:val="24"/>
          <w:highlight w:val="none"/>
        </w:rPr>
      </w:pPr>
      <w:r>
        <w:rPr>
          <w:rFonts w:hint="eastAsia" w:ascii="宋体" w:hAnsi="宋体" w:eastAsia="宋体" w:cs="宋体"/>
          <w:sz w:val="24"/>
          <w:szCs w:val="24"/>
          <w:highlight w:val="none"/>
        </w:rPr>
        <w:t>拟成交人应按《拟成交通知书》指定时间、地点与学校签订正式合同。</w:t>
      </w:r>
    </w:p>
    <w:p>
      <w:pPr>
        <w:numPr>
          <w:ilvl w:val="0"/>
          <w:numId w:val="24"/>
        </w:numPr>
        <w:tabs>
          <w:tab w:val="left" w:pos="720"/>
          <w:tab w:val="clear" w:pos="1047"/>
        </w:tabs>
        <w:spacing w:line="276" w:lineRule="auto"/>
        <w:ind w:left="-3" w:firstLine="542" w:firstLineChars="226"/>
        <w:rPr>
          <w:rFonts w:ascii="宋体" w:hAnsi="宋体" w:eastAsia="宋体" w:cs="宋体"/>
          <w:sz w:val="24"/>
          <w:szCs w:val="24"/>
          <w:highlight w:val="none"/>
        </w:rPr>
      </w:pPr>
      <w:r>
        <w:rPr>
          <w:rFonts w:hint="eastAsia" w:ascii="宋体" w:hAnsi="宋体" w:eastAsia="宋体" w:cs="宋体"/>
          <w:snapToGrid w:val="0"/>
          <w:kern w:val="0"/>
          <w:sz w:val="24"/>
          <w:szCs w:val="24"/>
          <w:highlight w:val="none"/>
        </w:rPr>
        <w:t>拟成交人应当自成交通知书发出之日起五个工作日内，根据食堂联合经营项目文件和拟成交人的参竞文件与学校订立书面合同。</w:t>
      </w:r>
      <w:r>
        <w:rPr>
          <w:rFonts w:hint="eastAsia" w:ascii="宋体" w:hAnsi="宋体" w:eastAsia="宋体" w:cs="宋体"/>
          <w:bCs/>
          <w:snapToGrid w:val="0"/>
          <w:kern w:val="0"/>
          <w:sz w:val="24"/>
          <w:szCs w:val="24"/>
          <w:highlight w:val="none"/>
        </w:rPr>
        <w:t>拟成交人无正当理由拒签合同的，学校取消其拟成交资格，其参竞保证金不予退还；给学校造成的损失超过参竞保证金数额的，拟成交人还应当对超过部分予以赔偿。</w:t>
      </w:r>
    </w:p>
    <w:p>
      <w:pPr>
        <w:numPr>
          <w:ilvl w:val="0"/>
          <w:numId w:val="24"/>
        </w:numPr>
        <w:tabs>
          <w:tab w:val="left" w:pos="720"/>
          <w:tab w:val="clear" w:pos="1047"/>
        </w:tabs>
        <w:spacing w:line="276" w:lineRule="auto"/>
        <w:ind w:left="-3" w:firstLine="542" w:firstLineChars="226"/>
        <w:rPr>
          <w:rFonts w:ascii="宋体" w:hAnsi="宋体" w:eastAsia="宋体" w:cs="宋体"/>
          <w:sz w:val="24"/>
          <w:szCs w:val="24"/>
          <w:highlight w:val="none"/>
        </w:rPr>
      </w:pPr>
      <w:r>
        <w:rPr>
          <w:rFonts w:hint="eastAsia" w:ascii="宋体" w:hAnsi="宋体" w:eastAsia="宋体" w:cs="宋体"/>
          <w:sz w:val="24"/>
          <w:szCs w:val="24"/>
          <w:highlight w:val="none"/>
        </w:rPr>
        <w:t>食堂联合经营项目文件、拟成交人的参竞文件、有效承诺文件及澄清文件及合同范本条款等，均为签订合同的依据，所签订的合同不得对上述文件内容作实质性修改。</w:t>
      </w:r>
    </w:p>
    <w:p>
      <w:pPr>
        <w:numPr>
          <w:ilvl w:val="0"/>
          <w:numId w:val="24"/>
        </w:numPr>
        <w:tabs>
          <w:tab w:val="left" w:pos="720"/>
          <w:tab w:val="clear" w:pos="1047"/>
        </w:tabs>
        <w:spacing w:line="276" w:lineRule="auto"/>
        <w:ind w:left="-3" w:firstLine="542" w:firstLineChars="226"/>
        <w:rPr>
          <w:rFonts w:ascii="宋体" w:hAnsi="宋体" w:eastAsia="宋体" w:cs="宋体"/>
          <w:sz w:val="24"/>
          <w:szCs w:val="24"/>
          <w:highlight w:val="none"/>
        </w:rPr>
      </w:pPr>
      <w:r>
        <w:rPr>
          <w:rFonts w:hint="eastAsia" w:ascii="宋体" w:hAnsi="宋体" w:eastAsia="宋体" w:cs="宋体"/>
          <w:sz w:val="24"/>
          <w:szCs w:val="24"/>
          <w:highlight w:val="none"/>
        </w:rPr>
        <w:t>如拟成交人放弃拟成交项目或在签订合同时改变拟成交状态，学校将取消其拟成交资格，参竞保证金不予退还。</w:t>
      </w:r>
    </w:p>
    <w:p>
      <w:pPr>
        <w:numPr>
          <w:ilvl w:val="0"/>
          <w:numId w:val="24"/>
        </w:numPr>
        <w:tabs>
          <w:tab w:val="left" w:pos="720"/>
          <w:tab w:val="clear" w:pos="1047"/>
        </w:tabs>
        <w:spacing w:line="276" w:lineRule="auto"/>
        <w:ind w:left="-3" w:firstLine="542" w:firstLineChars="226"/>
        <w:rPr>
          <w:rFonts w:ascii="宋体" w:hAnsi="宋体" w:eastAsia="宋体" w:cs="宋体"/>
          <w:sz w:val="24"/>
          <w:szCs w:val="24"/>
          <w:highlight w:val="none"/>
        </w:rPr>
      </w:pPr>
      <w:r>
        <w:rPr>
          <w:rFonts w:hint="eastAsia" w:ascii="宋体" w:hAnsi="宋体" w:eastAsia="宋体" w:cs="宋体"/>
          <w:sz w:val="24"/>
          <w:szCs w:val="24"/>
          <w:highlight w:val="none"/>
        </w:rPr>
        <w:t>法律、行政法规规定应当办理批准、登记等手续后生效的合同，依照其规定。</w:t>
      </w:r>
    </w:p>
    <w:p>
      <w:pPr>
        <w:numPr>
          <w:ilvl w:val="0"/>
          <w:numId w:val="24"/>
        </w:numPr>
        <w:tabs>
          <w:tab w:val="left" w:pos="720"/>
          <w:tab w:val="clear" w:pos="1047"/>
        </w:tabs>
        <w:spacing w:line="276" w:lineRule="auto"/>
        <w:ind w:left="-3" w:firstLine="542" w:firstLineChars="226"/>
        <w:rPr>
          <w:rFonts w:ascii="宋体" w:hAnsi="宋体" w:eastAsia="宋体" w:cs="宋体"/>
          <w:sz w:val="24"/>
          <w:szCs w:val="24"/>
          <w:highlight w:val="none"/>
        </w:rPr>
      </w:pPr>
      <w:r>
        <w:rPr>
          <w:rFonts w:hint="eastAsia" w:ascii="宋体" w:hAnsi="宋体" w:eastAsia="宋体" w:cs="宋体"/>
          <w:bCs/>
          <w:sz w:val="24"/>
          <w:szCs w:val="24"/>
          <w:highlight w:val="none"/>
        </w:rPr>
        <w:t>合同签订后，运行期间成交人未能或不能按食堂联合经营项目文件要求及参竞文件承诺履行合同，学校随时有权解除合同，且不承担任何责任</w:t>
      </w:r>
      <w:r>
        <w:rPr>
          <w:rFonts w:hint="eastAsia" w:ascii="宋体" w:hAnsi="宋体" w:eastAsia="宋体" w:cs="宋体"/>
          <w:sz w:val="24"/>
          <w:szCs w:val="24"/>
          <w:highlight w:val="none"/>
        </w:rPr>
        <w:t>。</w:t>
      </w:r>
    </w:p>
    <w:p>
      <w:pPr>
        <w:numPr>
          <w:ilvl w:val="0"/>
          <w:numId w:val="24"/>
        </w:numPr>
        <w:tabs>
          <w:tab w:val="left" w:pos="720"/>
          <w:tab w:val="clear" w:pos="1047"/>
        </w:tabs>
        <w:spacing w:line="276" w:lineRule="auto"/>
        <w:ind w:left="-3" w:firstLine="542" w:firstLineChars="226"/>
        <w:rPr>
          <w:rFonts w:ascii="宋体" w:hAnsi="宋体" w:eastAsia="宋体" w:cs="宋体"/>
          <w:sz w:val="24"/>
          <w:szCs w:val="24"/>
          <w:highlight w:val="none"/>
        </w:rPr>
      </w:pPr>
      <w:r>
        <w:rPr>
          <w:rFonts w:hint="eastAsia" w:ascii="宋体" w:hAnsi="宋体" w:eastAsia="宋体" w:cs="宋体"/>
          <w:sz w:val="24"/>
          <w:szCs w:val="24"/>
          <w:highlight w:val="none"/>
        </w:rPr>
        <w:t>签订合同前，成交人应缴足履约保证金。</w:t>
      </w:r>
    </w:p>
    <w:p>
      <w:pPr>
        <w:numPr>
          <w:ilvl w:val="0"/>
          <w:numId w:val="24"/>
        </w:numPr>
        <w:tabs>
          <w:tab w:val="left" w:pos="760"/>
          <w:tab w:val="clear" w:pos="1047"/>
        </w:tabs>
        <w:spacing w:line="276" w:lineRule="auto"/>
        <w:ind w:left="-3" w:firstLine="542" w:firstLineChars="226"/>
        <w:rPr>
          <w:rFonts w:ascii="宋体" w:hAnsi="宋体" w:eastAsia="宋体"/>
          <w:sz w:val="24"/>
          <w:szCs w:val="24"/>
          <w:highlight w:val="none"/>
        </w:rPr>
      </w:pPr>
      <w:r>
        <w:rPr>
          <w:rFonts w:hint="eastAsia" w:ascii="宋体" w:hAnsi="宋体" w:eastAsia="宋体" w:cs="宋体"/>
          <w:sz w:val="24"/>
          <w:szCs w:val="24"/>
          <w:highlight w:val="none"/>
        </w:rPr>
        <w:t>其他未尽事宜，由学校与拟成交人双方共同协商确定。</w:t>
      </w:r>
      <w:bookmarkStart w:id="81" w:name="_Toc358372478"/>
      <w:bookmarkStart w:id="82" w:name="_Toc358372766"/>
      <w:bookmarkStart w:id="83" w:name="_Toc358372765"/>
    </w:p>
    <w:p>
      <w:pPr>
        <w:tabs>
          <w:tab w:val="left" w:pos="760"/>
        </w:tabs>
        <w:spacing w:line="276" w:lineRule="auto"/>
        <w:ind w:left="475" w:leftChars="226"/>
        <w:rPr>
          <w:rFonts w:ascii="宋体" w:hAnsi="宋体" w:eastAsia="宋体" w:cs="宋体"/>
          <w:sz w:val="24"/>
          <w:szCs w:val="24"/>
          <w:highlight w:val="none"/>
        </w:rPr>
      </w:pPr>
      <w:r>
        <w:rPr>
          <w:rFonts w:hint="eastAsia" w:ascii="宋体" w:hAnsi="宋体" w:eastAsia="宋体" w:cs="宋体"/>
          <w:b/>
          <w:bCs/>
          <w:sz w:val="24"/>
          <w:szCs w:val="24"/>
          <w:highlight w:val="none"/>
        </w:rPr>
        <w:t>十、</w:t>
      </w:r>
      <w:r>
        <w:rPr>
          <w:rFonts w:hint="eastAsia" w:ascii="宋体" w:hAnsi="宋体" w:eastAsia="宋体" w:cs="宋体"/>
          <w:b/>
          <w:sz w:val="24"/>
          <w:szCs w:val="24"/>
          <w:highlight w:val="none"/>
        </w:rPr>
        <w:t>本项目文件所涉金额单位均为人民币。</w:t>
      </w:r>
    </w:p>
    <w:bookmarkEnd w:id="81"/>
    <w:bookmarkEnd w:id="82"/>
    <w:bookmarkEnd w:id="83"/>
    <w:p>
      <w:pPr>
        <w:pStyle w:val="2"/>
        <w:spacing w:before="312" w:after="156" w:line="276" w:lineRule="auto"/>
        <w:rPr>
          <w:rFonts w:ascii="宋体" w:hAnsi="宋体" w:eastAsia="宋体" w:cs="宋体"/>
          <w:b/>
          <w:sz w:val="24"/>
          <w:szCs w:val="24"/>
          <w:highlight w:val="none"/>
        </w:rPr>
      </w:pPr>
      <w:bookmarkStart w:id="84" w:name="_Toc422380999"/>
      <w:bookmarkStart w:id="85" w:name="_Toc13494"/>
      <w:bookmarkStart w:id="86" w:name="_Toc23880"/>
      <w:r>
        <w:rPr>
          <w:rFonts w:hint="eastAsia" w:ascii="宋体" w:hAnsi="宋体" w:eastAsia="宋体" w:cs="宋体"/>
          <w:b/>
          <w:sz w:val="24"/>
          <w:szCs w:val="24"/>
          <w:highlight w:val="none"/>
        </w:rPr>
        <w:t>第五篇   参竞文件格式</w:t>
      </w:r>
      <w:bookmarkEnd w:id="84"/>
      <w:bookmarkEnd w:id="85"/>
      <w:bookmarkEnd w:id="86"/>
    </w:p>
    <w:p>
      <w:pPr>
        <w:pStyle w:val="3"/>
        <w:tabs>
          <w:tab w:val="clear" w:pos="3360"/>
        </w:tabs>
        <w:spacing w:before="380" w:after="190" w:line="276" w:lineRule="auto"/>
        <w:rPr>
          <w:rFonts w:cs="宋体"/>
          <w:b/>
          <w:sz w:val="24"/>
          <w:szCs w:val="24"/>
          <w:highlight w:val="none"/>
        </w:rPr>
      </w:pPr>
      <w:bookmarkStart w:id="87" w:name="_Toc422381009"/>
      <w:bookmarkStart w:id="88" w:name="_Toc295233030"/>
      <w:bookmarkStart w:id="89" w:name="_Toc295074340"/>
      <w:bookmarkStart w:id="90" w:name="_Toc12943"/>
      <w:bookmarkStart w:id="91" w:name="_Toc9935"/>
      <w:r>
        <w:rPr>
          <w:rFonts w:hint="eastAsia" w:cs="宋体"/>
          <w:b/>
          <w:sz w:val="24"/>
          <w:szCs w:val="24"/>
          <w:highlight w:val="none"/>
        </w:rPr>
        <w:t>一、</w:t>
      </w:r>
      <w:bookmarkEnd w:id="87"/>
      <w:bookmarkEnd w:id="88"/>
      <w:bookmarkEnd w:id="89"/>
      <w:bookmarkEnd w:id="90"/>
      <w:bookmarkStart w:id="92" w:name="OLE_LINK2"/>
      <w:bookmarkStart w:id="93" w:name="OLE_LINK3"/>
      <w:r>
        <w:rPr>
          <w:rFonts w:hint="eastAsia" w:cs="宋体"/>
          <w:b/>
          <w:sz w:val="24"/>
          <w:szCs w:val="24"/>
          <w:highlight w:val="none"/>
        </w:rPr>
        <w:t>资格性审查证明文件</w:t>
      </w:r>
      <w:bookmarkEnd w:id="91"/>
      <w:bookmarkEnd w:id="92"/>
      <w:bookmarkEnd w:id="93"/>
      <w:r>
        <w:rPr>
          <w:rFonts w:hint="eastAsia" w:cs="宋体"/>
          <w:b/>
          <w:sz w:val="24"/>
          <w:szCs w:val="24"/>
          <w:highlight w:val="none"/>
        </w:rPr>
        <w:t>（见第三篇“一、评审方法”中“（二）评审程序”“1.资格性审查资料表”文件资料）</w:t>
      </w:r>
    </w:p>
    <w:p>
      <w:pPr>
        <w:rPr>
          <w:rFonts w:ascii="宋体" w:hAnsi="宋体" w:eastAsia="宋体" w:cs="宋体"/>
          <w:b/>
          <w:sz w:val="24"/>
          <w:szCs w:val="24"/>
          <w:highlight w:val="none"/>
        </w:rPr>
      </w:pPr>
      <w:r>
        <w:rPr>
          <w:rFonts w:hint="eastAsia" w:ascii="宋体" w:hAnsi="宋体" w:eastAsia="宋体" w:cs="宋体"/>
          <w:b/>
          <w:sz w:val="24"/>
          <w:szCs w:val="24"/>
          <w:highlight w:val="none"/>
        </w:rPr>
        <w:t xml:space="preserve">（一）法定代表人身份证明模板    </w:t>
      </w:r>
    </w:p>
    <w:p>
      <w:pPr>
        <w:rPr>
          <w:rFonts w:ascii="宋体" w:hAnsi="宋体" w:eastAsia="宋体" w:cs="宋体"/>
          <w:b/>
          <w:sz w:val="24"/>
          <w:szCs w:val="24"/>
          <w:highlight w:val="none"/>
        </w:rPr>
      </w:pPr>
      <w:r>
        <w:rPr>
          <w:rFonts w:hint="eastAsia" w:ascii="宋体" w:hAnsi="宋体" w:eastAsia="宋体" w:cs="宋体"/>
          <w:b/>
          <w:sz w:val="24"/>
          <w:szCs w:val="24"/>
          <w:highlight w:val="none"/>
        </w:rPr>
        <w:t xml:space="preserve">                 </w:t>
      </w:r>
    </w:p>
    <w:p>
      <w:pPr>
        <w:ind w:firstLine="3614" w:firstLineChars="1500"/>
        <w:rPr>
          <w:rFonts w:ascii="宋体" w:hAnsi="宋体" w:eastAsia="宋体" w:cs="宋体"/>
          <w:b/>
          <w:sz w:val="24"/>
          <w:szCs w:val="24"/>
          <w:highlight w:val="none"/>
        </w:rPr>
      </w:pPr>
      <w:r>
        <w:rPr>
          <w:rFonts w:hint="eastAsia" w:ascii="宋体" w:hAnsi="宋体" w:eastAsia="宋体" w:cs="宋体"/>
          <w:b/>
          <w:sz w:val="24"/>
          <w:szCs w:val="24"/>
          <w:highlight w:val="none"/>
        </w:rPr>
        <w:t>法定代表人身份证明</w:t>
      </w:r>
    </w:p>
    <w:p>
      <w:pPr>
        <w:rPr>
          <w:rFonts w:ascii="宋体" w:hAnsi="宋体" w:eastAsia="宋体" w:cs="宋体"/>
          <w:b/>
          <w:sz w:val="24"/>
          <w:szCs w:val="24"/>
          <w:highlight w:val="none"/>
          <w:u w:val="single"/>
        </w:rPr>
      </w:pPr>
      <w:r>
        <w:rPr>
          <w:rFonts w:hint="eastAsia" w:ascii="宋体" w:hAnsi="宋体" w:eastAsia="宋体" w:cs="宋体"/>
          <w:b/>
          <w:sz w:val="24"/>
          <w:szCs w:val="24"/>
          <w:highlight w:val="none"/>
        </w:rPr>
        <w:t xml:space="preserve">      项目名称：</w:t>
      </w:r>
      <w:r>
        <w:rPr>
          <w:rFonts w:hint="eastAsia" w:ascii="宋体" w:hAnsi="宋体" w:eastAsia="宋体" w:cs="宋体"/>
          <w:b/>
          <w:sz w:val="24"/>
          <w:szCs w:val="24"/>
          <w:highlight w:val="none"/>
          <w:u w:val="single"/>
        </w:rPr>
        <w:t xml:space="preserve">                                                           </w:t>
      </w:r>
    </w:p>
    <w:p>
      <w:pPr>
        <w:rPr>
          <w:rFonts w:ascii="宋体" w:hAnsi="宋体" w:eastAsia="宋体" w:cs="宋体"/>
          <w:b/>
          <w:sz w:val="24"/>
          <w:szCs w:val="24"/>
          <w:highlight w:val="none"/>
          <w:u w:val="single"/>
        </w:rPr>
      </w:pPr>
      <w:r>
        <w:rPr>
          <w:rFonts w:hint="eastAsia" w:ascii="宋体" w:hAnsi="宋体" w:eastAsia="宋体" w:cs="宋体"/>
          <w:b/>
          <w:sz w:val="24"/>
          <w:szCs w:val="24"/>
          <w:highlight w:val="none"/>
          <w:u w:val="single"/>
        </w:rPr>
        <w:t xml:space="preserve"> </w:t>
      </w:r>
      <w:r>
        <w:rPr>
          <w:rFonts w:hint="eastAsia" w:ascii="宋体" w:hAnsi="宋体" w:eastAsia="宋体" w:cs="宋体"/>
          <w:b/>
          <w:sz w:val="24"/>
          <w:szCs w:val="24"/>
          <w:highlight w:val="none"/>
        </w:rPr>
        <w:t xml:space="preserve">     日    期：</w:t>
      </w:r>
      <w:r>
        <w:rPr>
          <w:rFonts w:hint="eastAsia" w:ascii="宋体" w:hAnsi="宋体" w:eastAsia="宋体" w:cs="宋体"/>
          <w:b/>
          <w:sz w:val="24"/>
          <w:szCs w:val="24"/>
          <w:highlight w:val="none"/>
          <w:u w:val="single"/>
        </w:rPr>
        <w:t xml:space="preserve">                </w:t>
      </w:r>
    </w:p>
    <w:p>
      <w:pPr>
        <w:rPr>
          <w:rFonts w:ascii="宋体" w:hAnsi="宋体" w:eastAsia="宋体" w:cs="宋体"/>
          <w:b/>
          <w:sz w:val="24"/>
          <w:szCs w:val="24"/>
          <w:highlight w:val="none"/>
        </w:rPr>
      </w:pPr>
      <w:r>
        <w:rPr>
          <w:rFonts w:hint="eastAsia" w:ascii="宋体" w:hAnsi="宋体" w:eastAsia="宋体" w:cs="宋体"/>
          <w:b/>
          <w:sz w:val="24"/>
          <w:szCs w:val="24"/>
          <w:highlight w:val="none"/>
        </w:rPr>
        <w:t xml:space="preserve">      致：四川外国语大学</w:t>
      </w:r>
    </w:p>
    <w:p>
      <w:pPr>
        <w:ind w:left="723" w:hanging="723" w:hangingChars="300"/>
        <w:rPr>
          <w:rFonts w:ascii="宋体" w:hAnsi="宋体" w:eastAsia="宋体" w:cs="宋体"/>
          <w:b/>
          <w:sz w:val="24"/>
          <w:szCs w:val="24"/>
          <w:highlight w:val="none"/>
        </w:rPr>
      </w:pPr>
      <w:r>
        <w:rPr>
          <w:rFonts w:hint="eastAsia" w:ascii="宋体" w:hAnsi="宋体" w:eastAsia="宋体" w:cs="宋体"/>
          <w:b/>
          <w:sz w:val="24"/>
          <w:szCs w:val="24"/>
          <w:highlight w:val="none"/>
        </w:rPr>
        <w:t xml:space="preserve">      </w:t>
      </w:r>
      <w:r>
        <w:rPr>
          <w:rFonts w:hint="eastAsia" w:ascii="宋体" w:hAnsi="宋体" w:eastAsia="宋体" w:cs="宋体"/>
          <w:b/>
          <w:sz w:val="24"/>
          <w:szCs w:val="24"/>
          <w:highlight w:val="none"/>
          <w:u w:val="single"/>
        </w:rPr>
        <w:t xml:space="preserve">                 （参竞人名称）是中华人民共和国合法企业，法定地址：</w:t>
      </w:r>
      <w:r>
        <w:rPr>
          <w:rFonts w:hint="eastAsia" w:ascii="宋体" w:hAnsi="宋体" w:eastAsia="宋体" w:cs="宋体"/>
          <w:b/>
          <w:sz w:val="24"/>
          <w:szCs w:val="24"/>
          <w:highlight w:val="none"/>
        </w:rPr>
        <w:t xml:space="preserve">      </w:t>
      </w:r>
    </w:p>
    <w:p>
      <w:pPr>
        <w:ind w:left="1687" w:hanging="1687" w:hangingChars="700"/>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 xml:space="preserve">      </w:t>
      </w:r>
      <w:r>
        <w:rPr>
          <w:rFonts w:hint="eastAsia" w:ascii="宋体" w:hAnsi="宋体" w:eastAsia="宋体" w:cs="宋体"/>
          <w:b/>
          <w:sz w:val="24"/>
          <w:szCs w:val="24"/>
          <w:highlight w:val="none"/>
          <w:u w:val="single"/>
          <w:lang w:val="en-US" w:eastAsia="zh-CN"/>
        </w:rPr>
        <w:t xml:space="preserve">        </w:t>
      </w:r>
      <w:r>
        <w:rPr>
          <w:rFonts w:hint="eastAsia" w:ascii="宋体" w:hAnsi="宋体" w:eastAsia="宋体" w:cs="宋体"/>
          <w:b/>
          <w:sz w:val="24"/>
          <w:szCs w:val="24"/>
          <w:highlight w:val="none"/>
          <w:u w:val="none"/>
          <w:lang w:val="en-US" w:eastAsia="zh-CN"/>
        </w:rPr>
        <w:t xml:space="preserve">，               </w:t>
      </w:r>
      <w:r>
        <w:rPr>
          <w:rFonts w:hint="eastAsia" w:ascii="宋体" w:hAnsi="宋体" w:eastAsia="宋体" w:cs="宋体"/>
          <w:b/>
          <w:sz w:val="24"/>
          <w:szCs w:val="24"/>
          <w:highlight w:val="none"/>
        </w:rPr>
        <w:t xml:space="preserve">（法定代表人姓名）是  </w:t>
      </w:r>
      <w:r>
        <w:rPr>
          <w:rFonts w:hint="eastAsia" w:ascii="宋体" w:hAnsi="宋体" w:eastAsia="宋体" w:cs="宋体"/>
          <w:b/>
          <w:sz w:val="24"/>
          <w:szCs w:val="24"/>
          <w:highlight w:val="none"/>
          <w:u w:val="single"/>
        </w:rPr>
        <w:t xml:space="preserve">                 （参竞人名</w:t>
      </w:r>
    </w:p>
    <w:p>
      <w:pPr>
        <w:ind w:left="1687" w:hanging="1687" w:hangingChars="700"/>
        <w:rPr>
          <w:rFonts w:hint="eastAsia" w:ascii="宋体" w:hAnsi="宋体" w:eastAsia="宋体" w:cs="宋体"/>
          <w:b/>
          <w:sz w:val="24"/>
          <w:szCs w:val="24"/>
          <w:highlight w:val="none"/>
        </w:rPr>
      </w:pPr>
      <w:r>
        <w:rPr>
          <w:rFonts w:hint="eastAsia" w:ascii="宋体" w:hAnsi="宋体" w:eastAsia="宋体" w:cs="宋体"/>
          <w:b/>
          <w:sz w:val="24"/>
          <w:szCs w:val="24"/>
          <w:highlight w:val="none"/>
          <w:u w:val="single"/>
        </w:rPr>
        <w:t>称）的法定代表人，在</w:t>
      </w:r>
      <w:r>
        <w:rPr>
          <w:rFonts w:hint="eastAsia" w:ascii="宋体" w:hAnsi="宋体" w:eastAsia="宋体" w:cs="宋体"/>
          <w:b/>
          <w:sz w:val="24"/>
          <w:szCs w:val="24"/>
          <w:highlight w:val="none"/>
        </w:rPr>
        <w:t xml:space="preserve">  </w:t>
      </w:r>
      <w:r>
        <w:rPr>
          <w:rFonts w:hint="eastAsia" w:ascii="宋体" w:hAnsi="宋体" w:eastAsia="宋体" w:cs="宋体"/>
          <w:b/>
          <w:sz w:val="24"/>
          <w:szCs w:val="24"/>
          <w:highlight w:val="none"/>
          <w:u w:val="single"/>
        </w:rPr>
        <w:t xml:space="preserve">                 （参竞人名称）任       </w:t>
      </w:r>
      <w:r>
        <w:rPr>
          <w:rFonts w:hint="eastAsia" w:ascii="宋体" w:hAnsi="宋体" w:eastAsia="宋体" w:cs="宋体"/>
          <w:b/>
          <w:sz w:val="24"/>
          <w:szCs w:val="24"/>
          <w:highlight w:val="none"/>
        </w:rPr>
        <w:t>（职务名称）职务，</w:t>
      </w:r>
    </w:p>
    <w:p>
      <w:pPr>
        <w:ind w:left="1687" w:hanging="1687" w:hangingChars="700"/>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联系电话</w:t>
      </w:r>
      <w:r>
        <w:rPr>
          <w:rFonts w:hint="eastAsia" w:ascii="宋体" w:hAnsi="宋体" w:eastAsia="宋体" w:cs="宋体"/>
          <w:b/>
          <w:sz w:val="24"/>
          <w:szCs w:val="24"/>
          <w:highlight w:val="none"/>
          <w:u w:val="single"/>
        </w:rPr>
        <w:t xml:space="preserve">             。</w:t>
      </w:r>
    </w:p>
    <w:p>
      <w:pPr>
        <w:ind w:left="1687" w:hanging="1687" w:hangingChars="700"/>
        <w:rPr>
          <w:rFonts w:hint="eastAsia" w:ascii="宋体" w:hAnsi="宋体" w:eastAsia="宋体" w:cs="宋体"/>
          <w:b/>
          <w:sz w:val="24"/>
          <w:szCs w:val="24"/>
          <w:highlight w:val="none"/>
          <w:u w:val="single"/>
          <w:lang w:val="en-US" w:eastAsia="zh-CN"/>
        </w:rPr>
      </w:pPr>
      <w:r>
        <w:rPr>
          <w:rFonts w:hint="eastAsia" w:ascii="宋体" w:hAnsi="宋体" w:eastAsia="宋体" w:cs="宋体"/>
          <w:b/>
          <w:sz w:val="24"/>
          <w:szCs w:val="24"/>
          <w:highlight w:val="none"/>
          <w:u w:val="single"/>
          <w:lang w:val="en-US" w:eastAsia="zh-CN"/>
        </w:rPr>
        <w:t xml:space="preserve">     特此证明</w:t>
      </w:r>
    </w:p>
    <w:p>
      <w:pPr>
        <w:ind w:left="1687" w:hanging="1687" w:hangingChars="700"/>
        <w:rPr>
          <w:rFonts w:hint="eastAsia" w:ascii="宋体" w:hAnsi="宋体" w:eastAsia="宋体" w:cs="宋体"/>
          <w:b/>
          <w:sz w:val="24"/>
          <w:szCs w:val="24"/>
          <w:highlight w:val="none"/>
          <w:u w:val="single"/>
          <w:lang w:val="en-US" w:eastAsia="zh-CN"/>
        </w:rPr>
      </w:pPr>
      <w:r>
        <w:rPr>
          <w:rFonts w:hint="eastAsia" w:ascii="宋体" w:hAnsi="宋体" w:eastAsia="宋体" w:cs="宋体"/>
          <w:b/>
          <w:sz w:val="24"/>
          <w:szCs w:val="24"/>
          <w:highlight w:val="none"/>
          <w:u w:val="single"/>
          <w:lang w:val="en-US" w:eastAsia="zh-CN"/>
        </w:rPr>
        <w:t xml:space="preserve">                                                             参竞人名称（盖章）</w:t>
      </w:r>
    </w:p>
    <w:p>
      <w:pPr>
        <w:ind w:left="1687" w:hanging="1687" w:hangingChars="700"/>
        <w:rPr>
          <w:rFonts w:hint="default" w:ascii="宋体" w:hAnsi="宋体" w:eastAsia="宋体" w:cs="宋体"/>
          <w:b/>
          <w:sz w:val="24"/>
          <w:szCs w:val="24"/>
          <w:highlight w:val="none"/>
          <w:u w:val="single"/>
          <w:lang w:val="en-US" w:eastAsia="zh-CN"/>
        </w:rPr>
      </w:pPr>
      <w:r>
        <w:rPr>
          <w:rFonts w:hint="eastAsia" w:ascii="宋体" w:hAnsi="宋体" w:eastAsia="宋体" w:cs="宋体"/>
          <w:b/>
          <w:sz w:val="24"/>
          <w:szCs w:val="24"/>
          <w:highlight w:val="none"/>
          <w:u w:val="single"/>
          <w:lang w:val="en-US" w:eastAsia="zh-CN"/>
        </w:rPr>
        <w:t xml:space="preserve">                                                              年   月   日</w:t>
      </w: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附：法定代表人身份证正反面复印件</w:t>
      </w:r>
    </w:p>
    <w:p>
      <w:pPr>
        <w:rPr>
          <w:rFonts w:hint="eastAsia" w:ascii="宋体" w:hAnsi="宋体" w:eastAsia="宋体" w:cs="宋体"/>
          <w:b/>
          <w:sz w:val="24"/>
          <w:szCs w:val="24"/>
          <w:highlight w:val="none"/>
        </w:rPr>
      </w:pPr>
    </w:p>
    <w:p>
      <w:pPr>
        <w:numPr>
          <w:ilvl w:val="0"/>
          <w:numId w:val="25"/>
        </w:numPr>
        <w:ind w:left="727" w:leftChars="346" w:firstLine="964" w:firstLineChars="400"/>
        <w:rPr>
          <w:rFonts w:hint="eastAsia" w:ascii="宋体" w:hAnsi="宋体" w:eastAsia="宋体" w:cs="宋体"/>
          <w:b/>
          <w:sz w:val="24"/>
          <w:szCs w:val="24"/>
          <w:highlight w:val="none"/>
        </w:rPr>
      </w:pPr>
      <w:r>
        <w:rPr>
          <w:rFonts w:hint="eastAsia" w:ascii="宋体" w:hAnsi="宋体" w:eastAsia="宋体" w:cs="宋体"/>
          <w:b/>
          <w:sz w:val="24"/>
          <w:szCs w:val="24"/>
          <w:highlight w:val="none"/>
        </w:rPr>
        <w:t>其他文件格式自制</w:t>
      </w:r>
    </w:p>
    <w:p>
      <w:pPr>
        <w:ind w:left="0" w:leftChars="0" w:firstLine="240" w:firstLineChars="100"/>
        <w:rPr>
          <w:rFonts w:cs="宋体"/>
          <w:b/>
          <w:sz w:val="24"/>
          <w:szCs w:val="24"/>
          <w:highlight w:val="none"/>
        </w:rPr>
      </w:pPr>
      <w:bookmarkStart w:id="94" w:name="_Toc295233020"/>
      <w:bookmarkStart w:id="95" w:name="_Toc422381000"/>
      <w:bookmarkStart w:id="96" w:name="_Toc28427"/>
      <w:bookmarkStart w:id="97" w:name="_Toc25044"/>
      <w:r>
        <w:rPr>
          <w:rFonts w:hint="eastAsia" w:cs="宋体"/>
          <w:b/>
          <w:sz w:val="24"/>
          <w:szCs w:val="24"/>
          <w:highlight w:val="none"/>
        </w:rPr>
        <w:t>二、参竞人基本情况表</w:t>
      </w:r>
      <w:bookmarkEnd w:id="94"/>
      <w:bookmarkEnd w:id="95"/>
      <w:bookmarkEnd w:id="96"/>
      <w:bookmarkEnd w:id="97"/>
    </w:p>
    <w:p>
      <w:pPr>
        <w:spacing w:line="276"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参竞人基本情况表</w:t>
      </w:r>
    </w:p>
    <w:tbl>
      <w:tblPr>
        <w:tblStyle w:val="33"/>
        <w:tblW w:w="0" w:type="auto"/>
        <w:jc w:val="center"/>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1980"/>
        <w:gridCol w:w="1152"/>
        <w:gridCol w:w="1420"/>
        <w:gridCol w:w="810"/>
        <w:gridCol w:w="706"/>
        <w:gridCol w:w="841"/>
        <w:gridCol w:w="806"/>
        <w:gridCol w:w="1355"/>
      </w:tblGrid>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392" w:hRule="exact"/>
          <w:jc w:val="center"/>
        </w:trPr>
        <w:tc>
          <w:tcPr>
            <w:tcW w:w="1980"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参竞人名称</w:t>
            </w:r>
          </w:p>
        </w:tc>
        <w:tc>
          <w:tcPr>
            <w:tcW w:w="7090" w:type="dxa"/>
            <w:gridSpan w:val="7"/>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401" w:hRule="exact"/>
          <w:jc w:val="center"/>
        </w:trPr>
        <w:tc>
          <w:tcPr>
            <w:tcW w:w="1980"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注册地址</w:t>
            </w:r>
          </w:p>
        </w:tc>
        <w:tc>
          <w:tcPr>
            <w:tcW w:w="4088" w:type="dxa"/>
            <w:gridSpan w:val="4"/>
            <w:vAlign w:val="center"/>
          </w:tcPr>
          <w:p>
            <w:pPr>
              <w:spacing w:line="276" w:lineRule="auto"/>
              <w:jc w:val="center"/>
              <w:rPr>
                <w:rFonts w:ascii="宋体" w:hAnsi="宋体" w:eastAsia="宋体" w:cs="宋体"/>
                <w:sz w:val="24"/>
                <w:szCs w:val="24"/>
                <w:highlight w:val="none"/>
              </w:rPr>
            </w:pPr>
          </w:p>
        </w:tc>
        <w:tc>
          <w:tcPr>
            <w:tcW w:w="1647" w:type="dxa"/>
            <w:gridSpan w:val="2"/>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1355" w:type="dxa"/>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80" w:type="dxa"/>
            <w:vMerge w:val="restart"/>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联系方式</w:t>
            </w:r>
          </w:p>
        </w:tc>
        <w:tc>
          <w:tcPr>
            <w:tcW w:w="1152"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联系人</w:t>
            </w:r>
          </w:p>
        </w:tc>
        <w:tc>
          <w:tcPr>
            <w:tcW w:w="2936" w:type="dxa"/>
            <w:gridSpan w:val="3"/>
            <w:vAlign w:val="center"/>
          </w:tcPr>
          <w:p>
            <w:pPr>
              <w:spacing w:line="276" w:lineRule="auto"/>
              <w:jc w:val="center"/>
              <w:rPr>
                <w:rFonts w:ascii="宋体" w:hAnsi="宋体" w:eastAsia="宋体" w:cs="宋体"/>
                <w:sz w:val="24"/>
                <w:szCs w:val="24"/>
                <w:highlight w:val="none"/>
              </w:rPr>
            </w:pPr>
          </w:p>
        </w:tc>
        <w:tc>
          <w:tcPr>
            <w:tcW w:w="1647" w:type="dxa"/>
            <w:gridSpan w:val="2"/>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电 话</w:t>
            </w:r>
          </w:p>
        </w:tc>
        <w:tc>
          <w:tcPr>
            <w:tcW w:w="1355" w:type="dxa"/>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435" w:hRule="exact"/>
          <w:jc w:val="center"/>
        </w:trPr>
        <w:tc>
          <w:tcPr>
            <w:tcW w:w="1980" w:type="dxa"/>
            <w:vMerge w:val="continue"/>
            <w:vAlign w:val="center"/>
          </w:tcPr>
          <w:p>
            <w:pPr>
              <w:spacing w:line="276" w:lineRule="auto"/>
              <w:jc w:val="center"/>
              <w:rPr>
                <w:rFonts w:ascii="宋体" w:hAnsi="宋体" w:eastAsia="宋体" w:cs="宋体"/>
                <w:sz w:val="24"/>
                <w:szCs w:val="24"/>
                <w:highlight w:val="none"/>
              </w:rPr>
            </w:pPr>
          </w:p>
        </w:tc>
        <w:tc>
          <w:tcPr>
            <w:tcW w:w="1152"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传 真</w:t>
            </w:r>
          </w:p>
        </w:tc>
        <w:tc>
          <w:tcPr>
            <w:tcW w:w="2936" w:type="dxa"/>
            <w:gridSpan w:val="3"/>
            <w:vAlign w:val="center"/>
          </w:tcPr>
          <w:p>
            <w:pPr>
              <w:spacing w:line="276" w:lineRule="auto"/>
              <w:jc w:val="center"/>
              <w:rPr>
                <w:rFonts w:ascii="宋体" w:hAnsi="宋体" w:eastAsia="宋体" w:cs="宋体"/>
                <w:sz w:val="24"/>
                <w:szCs w:val="24"/>
                <w:highlight w:val="none"/>
              </w:rPr>
            </w:pPr>
          </w:p>
        </w:tc>
        <w:tc>
          <w:tcPr>
            <w:tcW w:w="1647" w:type="dxa"/>
            <w:gridSpan w:val="2"/>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网 址</w:t>
            </w:r>
          </w:p>
        </w:tc>
        <w:tc>
          <w:tcPr>
            <w:tcW w:w="1355" w:type="dxa"/>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80"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组织结构</w:t>
            </w:r>
          </w:p>
        </w:tc>
        <w:tc>
          <w:tcPr>
            <w:tcW w:w="7090" w:type="dxa"/>
            <w:gridSpan w:val="7"/>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80"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法定代表人</w:t>
            </w:r>
          </w:p>
        </w:tc>
        <w:tc>
          <w:tcPr>
            <w:tcW w:w="1152"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姓名</w:t>
            </w:r>
          </w:p>
        </w:tc>
        <w:tc>
          <w:tcPr>
            <w:tcW w:w="1420" w:type="dxa"/>
            <w:vAlign w:val="center"/>
          </w:tcPr>
          <w:p>
            <w:pPr>
              <w:spacing w:line="276" w:lineRule="auto"/>
              <w:jc w:val="center"/>
              <w:rPr>
                <w:rFonts w:ascii="宋体" w:hAnsi="宋体" w:eastAsia="宋体" w:cs="宋体"/>
                <w:sz w:val="24"/>
                <w:szCs w:val="24"/>
                <w:highlight w:val="none"/>
              </w:rPr>
            </w:pPr>
          </w:p>
        </w:tc>
        <w:tc>
          <w:tcPr>
            <w:tcW w:w="1516" w:type="dxa"/>
            <w:gridSpan w:val="2"/>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技术职称</w:t>
            </w:r>
          </w:p>
        </w:tc>
        <w:tc>
          <w:tcPr>
            <w:tcW w:w="841" w:type="dxa"/>
            <w:vAlign w:val="center"/>
          </w:tcPr>
          <w:p>
            <w:pPr>
              <w:spacing w:line="276" w:lineRule="auto"/>
              <w:jc w:val="center"/>
              <w:rPr>
                <w:rFonts w:ascii="宋体" w:hAnsi="宋体" w:eastAsia="宋体" w:cs="宋体"/>
                <w:sz w:val="24"/>
                <w:szCs w:val="24"/>
                <w:highlight w:val="none"/>
              </w:rPr>
            </w:pPr>
          </w:p>
        </w:tc>
        <w:tc>
          <w:tcPr>
            <w:tcW w:w="806"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电话</w:t>
            </w:r>
          </w:p>
        </w:tc>
        <w:tc>
          <w:tcPr>
            <w:tcW w:w="1355" w:type="dxa"/>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487" w:hRule="exact"/>
          <w:jc w:val="center"/>
        </w:trPr>
        <w:tc>
          <w:tcPr>
            <w:tcW w:w="1980"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技术负责人</w:t>
            </w:r>
          </w:p>
        </w:tc>
        <w:tc>
          <w:tcPr>
            <w:tcW w:w="1152"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姓名</w:t>
            </w:r>
          </w:p>
        </w:tc>
        <w:tc>
          <w:tcPr>
            <w:tcW w:w="1420" w:type="dxa"/>
            <w:vAlign w:val="center"/>
          </w:tcPr>
          <w:p>
            <w:pPr>
              <w:spacing w:line="276" w:lineRule="auto"/>
              <w:jc w:val="center"/>
              <w:rPr>
                <w:rFonts w:ascii="宋体" w:hAnsi="宋体" w:eastAsia="宋体" w:cs="宋体"/>
                <w:sz w:val="24"/>
                <w:szCs w:val="24"/>
                <w:highlight w:val="none"/>
              </w:rPr>
            </w:pPr>
          </w:p>
        </w:tc>
        <w:tc>
          <w:tcPr>
            <w:tcW w:w="1516" w:type="dxa"/>
            <w:gridSpan w:val="2"/>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技术职称</w:t>
            </w:r>
          </w:p>
        </w:tc>
        <w:tc>
          <w:tcPr>
            <w:tcW w:w="841" w:type="dxa"/>
            <w:vAlign w:val="center"/>
          </w:tcPr>
          <w:p>
            <w:pPr>
              <w:spacing w:line="276" w:lineRule="auto"/>
              <w:jc w:val="center"/>
              <w:rPr>
                <w:rFonts w:ascii="宋体" w:hAnsi="宋体" w:eastAsia="宋体" w:cs="宋体"/>
                <w:sz w:val="24"/>
                <w:szCs w:val="24"/>
                <w:highlight w:val="none"/>
              </w:rPr>
            </w:pPr>
          </w:p>
        </w:tc>
        <w:tc>
          <w:tcPr>
            <w:tcW w:w="806"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电话</w:t>
            </w:r>
          </w:p>
        </w:tc>
        <w:tc>
          <w:tcPr>
            <w:tcW w:w="1355" w:type="dxa"/>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450" w:hRule="exact"/>
          <w:jc w:val="center"/>
        </w:trPr>
        <w:tc>
          <w:tcPr>
            <w:tcW w:w="1980"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成立时间</w:t>
            </w:r>
          </w:p>
        </w:tc>
        <w:tc>
          <w:tcPr>
            <w:tcW w:w="2572" w:type="dxa"/>
            <w:gridSpan w:val="2"/>
            <w:vAlign w:val="center"/>
          </w:tcPr>
          <w:p>
            <w:pPr>
              <w:spacing w:line="276" w:lineRule="auto"/>
              <w:jc w:val="center"/>
              <w:rPr>
                <w:rFonts w:ascii="宋体" w:hAnsi="宋体" w:eastAsia="宋体" w:cs="宋体"/>
                <w:sz w:val="24"/>
                <w:szCs w:val="24"/>
                <w:highlight w:val="none"/>
              </w:rPr>
            </w:pPr>
          </w:p>
        </w:tc>
        <w:tc>
          <w:tcPr>
            <w:tcW w:w="4518" w:type="dxa"/>
            <w:gridSpan w:val="5"/>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员工总人数：</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80"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营业执照号</w:t>
            </w:r>
          </w:p>
        </w:tc>
        <w:tc>
          <w:tcPr>
            <w:tcW w:w="2572" w:type="dxa"/>
            <w:gridSpan w:val="2"/>
            <w:vAlign w:val="center"/>
          </w:tcPr>
          <w:p>
            <w:pPr>
              <w:spacing w:line="276" w:lineRule="auto"/>
              <w:jc w:val="center"/>
              <w:rPr>
                <w:rFonts w:ascii="宋体" w:hAnsi="宋体" w:eastAsia="宋体" w:cs="宋体"/>
                <w:sz w:val="24"/>
                <w:szCs w:val="24"/>
                <w:highlight w:val="none"/>
              </w:rPr>
            </w:pPr>
          </w:p>
        </w:tc>
        <w:tc>
          <w:tcPr>
            <w:tcW w:w="810" w:type="dxa"/>
            <w:vMerge w:val="restart"/>
            <w:vAlign w:val="center"/>
          </w:tcPr>
          <w:p>
            <w:pPr>
              <w:spacing w:line="276" w:lineRule="auto"/>
              <w:jc w:val="center"/>
              <w:rPr>
                <w:rFonts w:ascii="宋体" w:hAnsi="宋体" w:eastAsia="宋体" w:cs="宋体"/>
                <w:sz w:val="24"/>
                <w:szCs w:val="24"/>
                <w:highlight w:val="none"/>
              </w:rPr>
            </w:pPr>
          </w:p>
        </w:tc>
        <w:tc>
          <w:tcPr>
            <w:tcW w:w="2353" w:type="dxa"/>
            <w:gridSpan w:val="3"/>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食堂经理</w:t>
            </w:r>
          </w:p>
        </w:tc>
        <w:tc>
          <w:tcPr>
            <w:tcW w:w="1355" w:type="dxa"/>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464" w:hRule="exact"/>
          <w:jc w:val="center"/>
        </w:trPr>
        <w:tc>
          <w:tcPr>
            <w:tcW w:w="1980"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注册资金</w:t>
            </w:r>
          </w:p>
        </w:tc>
        <w:tc>
          <w:tcPr>
            <w:tcW w:w="2572" w:type="dxa"/>
            <w:gridSpan w:val="2"/>
            <w:vAlign w:val="center"/>
          </w:tcPr>
          <w:p>
            <w:pPr>
              <w:spacing w:line="276" w:lineRule="auto"/>
              <w:jc w:val="center"/>
              <w:rPr>
                <w:rFonts w:ascii="宋体" w:hAnsi="宋体" w:eastAsia="宋体" w:cs="宋体"/>
                <w:sz w:val="24"/>
                <w:szCs w:val="24"/>
                <w:highlight w:val="none"/>
              </w:rPr>
            </w:pPr>
          </w:p>
        </w:tc>
        <w:tc>
          <w:tcPr>
            <w:tcW w:w="810" w:type="dxa"/>
            <w:vMerge w:val="continue"/>
            <w:vAlign w:val="center"/>
          </w:tcPr>
          <w:p>
            <w:pPr>
              <w:spacing w:line="276" w:lineRule="auto"/>
              <w:jc w:val="center"/>
              <w:rPr>
                <w:rFonts w:ascii="宋体" w:hAnsi="宋体" w:eastAsia="宋体" w:cs="宋体"/>
                <w:sz w:val="24"/>
                <w:szCs w:val="24"/>
                <w:highlight w:val="none"/>
              </w:rPr>
            </w:pPr>
          </w:p>
        </w:tc>
        <w:tc>
          <w:tcPr>
            <w:tcW w:w="2353" w:type="dxa"/>
            <w:gridSpan w:val="3"/>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一级厨师</w:t>
            </w:r>
          </w:p>
        </w:tc>
        <w:tc>
          <w:tcPr>
            <w:tcW w:w="1355" w:type="dxa"/>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389" w:hRule="exact"/>
          <w:jc w:val="center"/>
        </w:trPr>
        <w:tc>
          <w:tcPr>
            <w:tcW w:w="1980"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开户银行</w:t>
            </w:r>
          </w:p>
        </w:tc>
        <w:tc>
          <w:tcPr>
            <w:tcW w:w="2572" w:type="dxa"/>
            <w:gridSpan w:val="2"/>
            <w:vAlign w:val="center"/>
          </w:tcPr>
          <w:p>
            <w:pPr>
              <w:spacing w:line="276" w:lineRule="auto"/>
              <w:jc w:val="center"/>
              <w:rPr>
                <w:rFonts w:ascii="宋体" w:hAnsi="宋体" w:eastAsia="宋体" w:cs="宋体"/>
                <w:sz w:val="24"/>
                <w:szCs w:val="24"/>
                <w:highlight w:val="none"/>
              </w:rPr>
            </w:pPr>
          </w:p>
        </w:tc>
        <w:tc>
          <w:tcPr>
            <w:tcW w:w="810" w:type="dxa"/>
            <w:vMerge w:val="continue"/>
            <w:vAlign w:val="center"/>
          </w:tcPr>
          <w:p>
            <w:pPr>
              <w:spacing w:line="276" w:lineRule="auto"/>
              <w:jc w:val="center"/>
              <w:rPr>
                <w:rFonts w:ascii="宋体" w:hAnsi="宋体" w:eastAsia="宋体" w:cs="宋体"/>
                <w:sz w:val="24"/>
                <w:szCs w:val="24"/>
                <w:highlight w:val="none"/>
              </w:rPr>
            </w:pPr>
          </w:p>
        </w:tc>
        <w:tc>
          <w:tcPr>
            <w:tcW w:w="2353" w:type="dxa"/>
            <w:gridSpan w:val="3"/>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二级厨师</w:t>
            </w:r>
          </w:p>
        </w:tc>
        <w:tc>
          <w:tcPr>
            <w:tcW w:w="1355" w:type="dxa"/>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307" w:hRule="exact"/>
          <w:jc w:val="center"/>
        </w:trPr>
        <w:tc>
          <w:tcPr>
            <w:tcW w:w="1980"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账号</w:t>
            </w:r>
          </w:p>
        </w:tc>
        <w:tc>
          <w:tcPr>
            <w:tcW w:w="2572" w:type="dxa"/>
            <w:gridSpan w:val="2"/>
            <w:vAlign w:val="center"/>
          </w:tcPr>
          <w:p>
            <w:pPr>
              <w:spacing w:line="276" w:lineRule="auto"/>
              <w:jc w:val="center"/>
              <w:rPr>
                <w:rFonts w:ascii="宋体" w:hAnsi="宋体" w:eastAsia="宋体" w:cs="宋体"/>
                <w:sz w:val="24"/>
                <w:szCs w:val="24"/>
                <w:highlight w:val="none"/>
              </w:rPr>
            </w:pPr>
          </w:p>
        </w:tc>
        <w:tc>
          <w:tcPr>
            <w:tcW w:w="810" w:type="dxa"/>
            <w:vMerge w:val="continue"/>
            <w:vAlign w:val="center"/>
          </w:tcPr>
          <w:p>
            <w:pPr>
              <w:spacing w:line="276" w:lineRule="auto"/>
              <w:jc w:val="center"/>
              <w:rPr>
                <w:rFonts w:ascii="宋体" w:hAnsi="宋体" w:eastAsia="宋体" w:cs="宋体"/>
                <w:sz w:val="24"/>
                <w:szCs w:val="24"/>
                <w:highlight w:val="none"/>
              </w:rPr>
            </w:pPr>
          </w:p>
        </w:tc>
        <w:tc>
          <w:tcPr>
            <w:tcW w:w="2353" w:type="dxa"/>
            <w:gridSpan w:val="3"/>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三级厨师</w:t>
            </w:r>
          </w:p>
        </w:tc>
        <w:tc>
          <w:tcPr>
            <w:tcW w:w="1355" w:type="dxa"/>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314" w:hRule="exact"/>
          <w:jc w:val="center"/>
        </w:trPr>
        <w:tc>
          <w:tcPr>
            <w:tcW w:w="1980"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经营范围</w:t>
            </w:r>
          </w:p>
        </w:tc>
        <w:tc>
          <w:tcPr>
            <w:tcW w:w="7090" w:type="dxa"/>
            <w:gridSpan w:val="7"/>
            <w:vAlign w:val="center"/>
          </w:tcPr>
          <w:p>
            <w:pPr>
              <w:spacing w:line="276" w:lineRule="auto"/>
              <w:jc w:val="center"/>
              <w:rPr>
                <w:rFonts w:ascii="宋体" w:hAnsi="宋体" w:eastAsia="宋体" w:cs="宋体"/>
                <w:sz w:val="24"/>
                <w:szCs w:val="24"/>
                <w:highlight w:val="none"/>
              </w:rPr>
            </w:pPr>
          </w:p>
          <w:p>
            <w:pPr>
              <w:spacing w:line="276" w:lineRule="auto"/>
              <w:jc w:val="center"/>
              <w:rPr>
                <w:rFonts w:ascii="宋体" w:hAnsi="宋体" w:eastAsia="宋体" w:cs="宋体"/>
                <w:sz w:val="24"/>
                <w:szCs w:val="24"/>
                <w:highlight w:val="none"/>
              </w:rPr>
            </w:pPr>
          </w:p>
          <w:p>
            <w:pPr>
              <w:spacing w:line="276" w:lineRule="auto"/>
              <w:jc w:val="center"/>
              <w:rPr>
                <w:rFonts w:ascii="宋体" w:hAnsi="宋体" w:eastAsia="宋体" w:cs="宋体"/>
                <w:sz w:val="24"/>
                <w:szCs w:val="24"/>
                <w:highlight w:val="none"/>
              </w:rPr>
            </w:pPr>
          </w:p>
          <w:p>
            <w:pPr>
              <w:spacing w:line="276" w:lineRule="auto"/>
              <w:jc w:val="center"/>
              <w:rPr>
                <w:rFonts w:ascii="宋体" w:hAnsi="宋体" w:eastAsia="宋体" w:cs="宋体"/>
                <w:sz w:val="24"/>
                <w:szCs w:val="24"/>
                <w:highlight w:val="none"/>
              </w:rPr>
            </w:pPr>
          </w:p>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450" w:hRule="exact"/>
          <w:jc w:val="center"/>
        </w:trPr>
        <w:tc>
          <w:tcPr>
            <w:tcW w:w="1980"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备注</w:t>
            </w:r>
          </w:p>
        </w:tc>
        <w:tc>
          <w:tcPr>
            <w:tcW w:w="7090" w:type="dxa"/>
            <w:gridSpan w:val="7"/>
            <w:vAlign w:val="center"/>
          </w:tcPr>
          <w:p>
            <w:pPr>
              <w:spacing w:line="276" w:lineRule="auto"/>
              <w:jc w:val="center"/>
              <w:rPr>
                <w:rFonts w:ascii="宋体" w:hAnsi="宋体" w:eastAsia="宋体" w:cs="宋体"/>
                <w:sz w:val="24"/>
                <w:szCs w:val="24"/>
                <w:highlight w:val="none"/>
              </w:rPr>
            </w:pPr>
          </w:p>
        </w:tc>
      </w:tr>
    </w:tbl>
    <w:p>
      <w:pPr>
        <w:spacing w:line="276" w:lineRule="auto"/>
        <w:rPr>
          <w:rFonts w:ascii="宋体" w:hAnsi="宋体" w:eastAsia="宋体" w:cs="宋体"/>
          <w:sz w:val="24"/>
          <w:szCs w:val="24"/>
          <w:highlight w:val="none"/>
        </w:rPr>
        <w:sectPr>
          <w:headerReference r:id="rId4" w:type="default"/>
          <w:pgSz w:w="11906" w:h="16838"/>
          <w:pgMar w:top="567" w:right="1134" w:bottom="567" w:left="1134" w:header="851" w:footer="992" w:gutter="0"/>
          <w:cols w:space="720" w:num="1"/>
          <w:docGrid w:type="lines" w:linePitch="312" w:charSpace="-5735"/>
        </w:sectPr>
      </w:pPr>
    </w:p>
    <w:p>
      <w:pPr>
        <w:pStyle w:val="3"/>
        <w:tabs>
          <w:tab w:val="clear" w:pos="3360"/>
        </w:tabs>
        <w:spacing w:before="312" w:after="156" w:line="276" w:lineRule="auto"/>
        <w:rPr>
          <w:rFonts w:cs="宋体"/>
          <w:b/>
          <w:sz w:val="24"/>
          <w:szCs w:val="24"/>
          <w:highlight w:val="none"/>
        </w:rPr>
      </w:pPr>
      <w:bookmarkStart w:id="98" w:name="_Toc295233023"/>
      <w:bookmarkStart w:id="99" w:name="_Toc295074333"/>
      <w:bookmarkStart w:id="100" w:name="_Toc422381003"/>
      <w:bookmarkStart w:id="101" w:name="_Toc6833"/>
      <w:bookmarkStart w:id="102" w:name="_Toc18282"/>
      <w:r>
        <w:rPr>
          <w:rFonts w:hint="eastAsia" w:cs="宋体"/>
          <w:b/>
          <w:sz w:val="24"/>
          <w:szCs w:val="24"/>
          <w:highlight w:val="none"/>
        </w:rPr>
        <w:t>三、参竞函</w:t>
      </w:r>
      <w:bookmarkEnd w:id="98"/>
      <w:bookmarkEnd w:id="99"/>
      <w:bookmarkEnd w:id="100"/>
      <w:bookmarkEnd w:id="101"/>
      <w:bookmarkEnd w:id="102"/>
    </w:p>
    <w:p>
      <w:pPr>
        <w:tabs>
          <w:tab w:val="left" w:pos="6300"/>
        </w:tabs>
        <w:snapToGrid w:val="0"/>
        <w:spacing w:line="276"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参竞函</w:t>
      </w:r>
    </w:p>
    <w:p>
      <w:pPr>
        <w:tabs>
          <w:tab w:val="left" w:pos="560"/>
          <w:tab w:val="left" w:pos="6300"/>
        </w:tabs>
        <w:snapToGrid w:val="0"/>
        <w:spacing w:line="276" w:lineRule="auto"/>
        <w:ind w:firstLine="480" w:firstLineChars="200"/>
        <w:rPr>
          <w:rFonts w:ascii="宋体" w:hAnsi="宋体" w:eastAsia="宋体" w:cs="宋体"/>
          <w:position w:val="-6"/>
          <w:sz w:val="24"/>
          <w:szCs w:val="24"/>
          <w:highlight w:val="none"/>
        </w:rPr>
      </w:pPr>
      <w:r>
        <w:rPr>
          <w:rFonts w:hint="eastAsia" w:ascii="宋体" w:hAnsi="宋体" w:eastAsia="宋体" w:cs="宋体"/>
          <w:position w:val="-6"/>
          <w:sz w:val="24"/>
          <w:szCs w:val="24"/>
          <w:highlight w:val="none"/>
          <w:u w:val="single"/>
        </w:rPr>
        <w:t xml:space="preserve"> 四川外国语大学</w:t>
      </w:r>
      <w:r>
        <w:rPr>
          <w:rFonts w:hint="eastAsia" w:ascii="宋体" w:hAnsi="宋体" w:eastAsia="宋体" w:cs="宋体"/>
          <w:position w:val="-6"/>
          <w:sz w:val="24"/>
          <w:szCs w:val="24"/>
          <w:highlight w:val="none"/>
        </w:rPr>
        <w:t>：</w:t>
      </w:r>
    </w:p>
    <w:p>
      <w:pPr>
        <w:tabs>
          <w:tab w:val="left" w:pos="6300"/>
        </w:tabs>
        <w:snapToGrid w:val="0"/>
        <w:spacing w:line="276" w:lineRule="auto"/>
        <w:ind w:firstLine="570"/>
        <w:rPr>
          <w:rFonts w:ascii="宋体" w:hAnsi="宋体" w:eastAsia="宋体" w:cs="宋体"/>
          <w:sz w:val="24"/>
          <w:szCs w:val="24"/>
          <w:highlight w:val="none"/>
        </w:rPr>
      </w:pPr>
      <w:r>
        <w:rPr>
          <w:rFonts w:hint="eastAsia" w:ascii="宋体" w:hAnsi="宋体" w:eastAsia="宋体" w:cs="宋体"/>
          <w:sz w:val="24"/>
          <w:szCs w:val="24"/>
          <w:highlight w:val="none"/>
        </w:rPr>
        <w:t>我方收到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（项目名称）文件，经详细研究，决定参加该项目的参竞。</w:t>
      </w:r>
    </w:p>
    <w:p>
      <w:pPr>
        <w:tabs>
          <w:tab w:val="left" w:pos="283"/>
        </w:tabs>
        <w:snapToGrid w:val="0"/>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ascii="宋体" w:hAnsi="宋体" w:eastAsia="宋体" w:cs="宋体"/>
          <w:sz w:val="24"/>
          <w:szCs w:val="24"/>
          <w:highlight w:val="none"/>
        </w:rPr>
        <w:t>.我方现提交的参竞文件为：参竞文件一式八份，其中正本一份，副本六份，</w:t>
      </w:r>
      <w:r>
        <w:rPr>
          <w:rFonts w:hint="eastAsia" w:ascii="宋体" w:hAnsi="宋体" w:eastAsia="宋体" w:cs="宋体"/>
          <w:sz w:val="24"/>
          <w:szCs w:val="24"/>
          <w:highlight w:val="none"/>
        </w:rPr>
        <w:t>电子版一份。</w:t>
      </w:r>
    </w:p>
    <w:p>
      <w:pPr>
        <w:tabs>
          <w:tab w:val="left" w:pos="283"/>
        </w:tabs>
        <w:snapToGrid w:val="0"/>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ascii="宋体" w:hAnsi="宋体" w:eastAsia="宋体" w:cs="宋体"/>
          <w:sz w:val="24"/>
          <w:szCs w:val="24"/>
          <w:highlight w:val="none"/>
        </w:rPr>
        <w:t>.如果我方参竞文件被接受，我方将履行食堂联合经营项目文件中规定的各项要</w:t>
      </w:r>
      <w:r>
        <w:rPr>
          <w:rFonts w:hint="eastAsia" w:ascii="宋体" w:hAnsi="宋体" w:eastAsia="宋体" w:cs="宋体"/>
          <w:sz w:val="24"/>
          <w:szCs w:val="24"/>
          <w:highlight w:val="none"/>
        </w:rPr>
        <w:t>求，按国家有关法律和合同约定条款承担我方的责任。</w:t>
      </w:r>
    </w:p>
    <w:p>
      <w:pPr>
        <w:tabs>
          <w:tab w:val="left" w:pos="283"/>
        </w:tabs>
        <w:snapToGrid w:val="0"/>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ascii="宋体" w:hAnsi="宋体" w:eastAsia="宋体" w:cs="宋体"/>
          <w:sz w:val="24"/>
          <w:szCs w:val="24"/>
          <w:highlight w:val="none"/>
        </w:rPr>
        <w:t>.</w:t>
      </w:r>
      <w:r>
        <w:rPr>
          <w:rFonts w:hint="eastAsia" w:ascii="宋体" w:hAnsi="宋体" w:eastAsia="宋体" w:cs="宋体"/>
          <w:sz w:val="24"/>
          <w:szCs w:val="24"/>
          <w:highlight w:val="none"/>
        </w:rPr>
        <w:t>我方愿意提供学校在食堂联合经营项目文件中要求的所有资料，并对其真实性负责。</w:t>
      </w:r>
    </w:p>
    <w:p>
      <w:pPr>
        <w:tabs>
          <w:tab w:val="left" w:pos="283"/>
        </w:tabs>
        <w:snapToGrid w:val="0"/>
        <w:spacing w:line="276" w:lineRule="auto"/>
        <w:ind w:left="504"/>
        <w:rPr>
          <w:rFonts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rPr>
        <w:t>.我方理解，最高报价不是拟成交的唯一条件。</w:t>
      </w:r>
    </w:p>
    <w:p>
      <w:pPr>
        <w:tabs>
          <w:tab w:val="left" w:pos="283"/>
        </w:tabs>
        <w:snapToGrid w:val="0"/>
        <w:spacing w:line="276" w:lineRule="auto"/>
        <w:ind w:left="502"/>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.我方同意按食堂联合经营项目文件规定，交纳人民币</w:t>
      </w:r>
      <w:r>
        <w:rPr>
          <w:rFonts w:hint="eastAsia" w:ascii="宋体" w:hAnsi="宋体" w:eastAsia="宋体" w:cs="宋体"/>
          <w:sz w:val="24"/>
          <w:szCs w:val="24"/>
          <w:highlight w:val="none"/>
          <w:u w:val="single"/>
        </w:rPr>
        <w:t xml:space="preserve">  伍拾万  </w:t>
      </w:r>
      <w:r>
        <w:rPr>
          <w:rFonts w:hint="eastAsia" w:ascii="宋体" w:hAnsi="宋体" w:eastAsia="宋体" w:cs="宋体"/>
          <w:sz w:val="24"/>
          <w:szCs w:val="24"/>
          <w:highlight w:val="none"/>
        </w:rPr>
        <w:t>元/人/包作为</w:t>
      </w:r>
    </w:p>
    <w:p>
      <w:pPr>
        <w:tabs>
          <w:tab w:val="left" w:pos="283"/>
        </w:tabs>
        <w:snapToGrid w:val="0"/>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参竞保证金。</w:t>
      </w:r>
    </w:p>
    <w:p>
      <w:pPr>
        <w:tabs>
          <w:tab w:val="left" w:pos="283"/>
        </w:tabs>
        <w:snapToGrid w:val="0"/>
        <w:spacing w:line="276" w:lineRule="auto"/>
        <w:ind w:left="502"/>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.我方同意按照下述比例安排工作人员从事学生食堂餐饮服务与管理工作：</w:t>
      </w: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7"/>
        <w:gridCol w:w="4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4487" w:type="dxa"/>
            <w:vAlign w:val="center"/>
          </w:tcPr>
          <w:p>
            <w:pPr>
              <w:tabs>
                <w:tab w:val="left" w:pos="6300"/>
              </w:tabs>
              <w:snapToGrid w:val="0"/>
              <w:spacing w:line="276"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岗位名称</w:t>
            </w:r>
          </w:p>
        </w:tc>
        <w:tc>
          <w:tcPr>
            <w:tcW w:w="4513" w:type="dxa"/>
            <w:vAlign w:val="center"/>
          </w:tcPr>
          <w:p>
            <w:pPr>
              <w:tabs>
                <w:tab w:val="left" w:pos="6300"/>
              </w:tabs>
              <w:snapToGrid w:val="0"/>
              <w:spacing w:line="276"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安排人数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487" w:type="dxa"/>
            <w:vAlign w:val="center"/>
          </w:tcPr>
          <w:p>
            <w:pPr>
              <w:tabs>
                <w:tab w:val="left" w:pos="6300"/>
              </w:tabs>
              <w:snapToGrid w:val="0"/>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项目经理</w:t>
            </w:r>
          </w:p>
        </w:tc>
        <w:tc>
          <w:tcPr>
            <w:tcW w:w="4513" w:type="dxa"/>
            <w:vAlign w:val="center"/>
          </w:tcPr>
          <w:p>
            <w:pPr>
              <w:tabs>
                <w:tab w:val="left" w:pos="6300"/>
              </w:tabs>
              <w:snapToGrid w:val="0"/>
              <w:spacing w:line="276" w:lineRule="auto"/>
              <w:jc w:val="center"/>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87" w:type="dxa"/>
            <w:vAlign w:val="center"/>
          </w:tcPr>
          <w:p>
            <w:pPr>
              <w:tabs>
                <w:tab w:val="left" w:pos="6300"/>
              </w:tabs>
              <w:snapToGrid w:val="0"/>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一线员工</w:t>
            </w:r>
          </w:p>
        </w:tc>
        <w:tc>
          <w:tcPr>
            <w:tcW w:w="4513" w:type="dxa"/>
            <w:vAlign w:val="center"/>
          </w:tcPr>
          <w:p>
            <w:pPr>
              <w:tabs>
                <w:tab w:val="left" w:pos="6300"/>
              </w:tabs>
              <w:snapToGrid w:val="0"/>
              <w:spacing w:line="276" w:lineRule="auto"/>
              <w:jc w:val="center"/>
              <w:rPr>
                <w:rFonts w:ascii="宋体" w:hAnsi="宋体" w:eastAsia="宋体" w:cs="宋体"/>
                <w:sz w:val="24"/>
                <w:szCs w:val="24"/>
                <w:highlight w:val="none"/>
              </w:rPr>
            </w:pPr>
          </w:p>
        </w:tc>
      </w:tr>
    </w:tbl>
    <w:p>
      <w:pPr>
        <w:tabs>
          <w:tab w:val="left" w:pos="6300"/>
        </w:tabs>
        <w:snapToGrid w:val="0"/>
        <w:spacing w:line="276" w:lineRule="auto"/>
        <w:ind w:firstLine="570"/>
        <w:jc w:val="left"/>
        <w:rPr>
          <w:rFonts w:ascii="宋体" w:hAnsi="宋体" w:eastAsia="宋体" w:cs="宋体"/>
          <w:sz w:val="24"/>
          <w:szCs w:val="24"/>
          <w:highlight w:val="none"/>
        </w:rPr>
      </w:pPr>
      <w:r>
        <w:rPr>
          <w:rFonts w:hint="eastAsia" w:ascii="宋体" w:hAnsi="宋体" w:eastAsia="宋体" w:cs="宋体"/>
          <w:sz w:val="24"/>
          <w:szCs w:val="24"/>
          <w:highlight w:val="none"/>
        </w:rPr>
        <w:t>参竞人（公章）：</w:t>
      </w:r>
    </w:p>
    <w:p>
      <w:pPr>
        <w:tabs>
          <w:tab w:val="left" w:pos="6300"/>
        </w:tabs>
        <w:snapToGrid w:val="0"/>
        <w:spacing w:line="276" w:lineRule="auto"/>
        <w:ind w:firstLine="570"/>
        <w:jc w:val="left"/>
        <w:rPr>
          <w:rFonts w:ascii="宋体" w:hAnsi="宋体" w:eastAsia="宋体" w:cs="宋体"/>
          <w:sz w:val="24"/>
          <w:szCs w:val="24"/>
          <w:highlight w:val="none"/>
        </w:rPr>
      </w:pPr>
      <w:r>
        <w:rPr>
          <w:rFonts w:hint="eastAsia" w:ascii="宋体" w:hAnsi="宋体" w:eastAsia="宋体" w:cs="宋体"/>
          <w:sz w:val="24"/>
          <w:szCs w:val="24"/>
          <w:highlight w:val="none"/>
        </w:rPr>
        <w:t>地址：</w:t>
      </w:r>
    </w:p>
    <w:p>
      <w:pPr>
        <w:tabs>
          <w:tab w:val="left" w:pos="6300"/>
        </w:tabs>
        <w:snapToGrid w:val="0"/>
        <w:spacing w:line="276" w:lineRule="auto"/>
        <w:ind w:firstLine="570"/>
        <w:jc w:val="left"/>
        <w:rPr>
          <w:rFonts w:ascii="宋体" w:hAnsi="宋体" w:eastAsia="宋体" w:cs="宋体"/>
          <w:sz w:val="24"/>
          <w:szCs w:val="24"/>
          <w:highlight w:val="none"/>
        </w:rPr>
      </w:pPr>
      <w:r>
        <w:rPr>
          <w:rFonts w:hint="eastAsia" w:ascii="宋体" w:hAnsi="宋体" w:eastAsia="宋体" w:cs="宋体"/>
          <w:sz w:val="24"/>
          <w:szCs w:val="24"/>
          <w:highlight w:val="none"/>
        </w:rPr>
        <w:t xml:space="preserve">电话：                          </w:t>
      </w:r>
    </w:p>
    <w:p>
      <w:pPr>
        <w:tabs>
          <w:tab w:val="left" w:pos="6300"/>
        </w:tabs>
        <w:snapToGrid w:val="0"/>
        <w:spacing w:line="276" w:lineRule="auto"/>
        <w:ind w:firstLine="5220" w:firstLineChars="2175"/>
        <w:jc w:val="left"/>
        <w:rPr>
          <w:rFonts w:ascii="宋体" w:hAnsi="宋体" w:eastAsia="宋体" w:cs="宋体"/>
          <w:sz w:val="24"/>
          <w:szCs w:val="24"/>
          <w:highlight w:val="none"/>
          <w:u w:val="single"/>
        </w:rPr>
      </w:pPr>
    </w:p>
    <w:p>
      <w:pPr>
        <w:tabs>
          <w:tab w:val="left" w:pos="6300"/>
        </w:tabs>
        <w:snapToGrid w:val="0"/>
        <w:spacing w:line="276" w:lineRule="auto"/>
        <w:ind w:firstLine="5220" w:firstLineChars="2175"/>
        <w:jc w:val="left"/>
        <w:rPr>
          <w:rFonts w:ascii="宋体" w:hAnsi="宋体" w:eastAsia="宋体" w:cs="宋体"/>
          <w:sz w:val="24"/>
          <w:szCs w:val="24"/>
          <w:highlight w:val="none"/>
          <w:u w:val="single"/>
        </w:rPr>
      </w:pPr>
    </w:p>
    <w:p>
      <w:pPr>
        <w:tabs>
          <w:tab w:val="left" w:pos="6300"/>
        </w:tabs>
        <w:snapToGrid w:val="0"/>
        <w:spacing w:line="276" w:lineRule="auto"/>
        <w:ind w:firstLine="5220" w:firstLineChars="2175"/>
        <w:jc w:val="left"/>
        <w:rPr>
          <w:rFonts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pStyle w:val="3"/>
        <w:tabs>
          <w:tab w:val="clear" w:pos="3360"/>
        </w:tabs>
        <w:spacing w:before="312" w:after="156" w:line="276" w:lineRule="auto"/>
        <w:rPr>
          <w:rFonts w:cs="宋体"/>
          <w:bCs/>
          <w:sz w:val="24"/>
          <w:szCs w:val="24"/>
          <w:highlight w:val="none"/>
        </w:rPr>
      </w:pPr>
      <w:bookmarkStart w:id="103" w:name="_Toc295074334"/>
      <w:bookmarkStart w:id="104" w:name="_Toc295233024"/>
    </w:p>
    <w:p>
      <w:pPr>
        <w:spacing w:line="276" w:lineRule="auto"/>
        <w:rPr>
          <w:rFonts w:ascii="宋体" w:hAnsi="宋体" w:eastAsia="宋体" w:cs="宋体"/>
          <w:bCs/>
          <w:sz w:val="24"/>
          <w:szCs w:val="24"/>
          <w:highlight w:val="none"/>
        </w:rPr>
      </w:pPr>
    </w:p>
    <w:p>
      <w:pPr>
        <w:spacing w:line="276" w:lineRule="auto"/>
        <w:rPr>
          <w:rFonts w:ascii="宋体" w:hAnsi="宋体" w:eastAsia="宋体" w:cs="宋体"/>
          <w:bCs/>
          <w:sz w:val="24"/>
          <w:szCs w:val="24"/>
          <w:highlight w:val="none"/>
        </w:rPr>
      </w:pPr>
    </w:p>
    <w:p>
      <w:pPr>
        <w:spacing w:line="276" w:lineRule="auto"/>
        <w:rPr>
          <w:rFonts w:ascii="宋体" w:hAnsi="宋体" w:eastAsia="宋体" w:cs="宋体"/>
          <w:bCs/>
          <w:sz w:val="24"/>
          <w:szCs w:val="24"/>
          <w:highlight w:val="none"/>
        </w:rPr>
      </w:pPr>
    </w:p>
    <w:p>
      <w:pPr>
        <w:spacing w:line="276" w:lineRule="auto"/>
        <w:rPr>
          <w:rFonts w:ascii="宋体" w:hAnsi="宋体" w:eastAsia="宋体" w:cs="宋体"/>
          <w:bCs/>
          <w:sz w:val="24"/>
          <w:szCs w:val="24"/>
          <w:highlight w:val="none"/>
        </w:rPr>
      </w:pPr>
    </w:p>
    <w:p>
      <w:pPr>
        <w:spacing w:line="276" w:lineRule="auto"/>
        <w:rPr>
          <w:rFonts w:ascii="宋体" w:hAnsi="宋体" w:eastAsia="宋体" w:cs="宋体"/>
          <w:bCs/>
          <w:sz w:val="24"/>
          <w:szCs w:val="24"/>
          <w:highlight w:val="none"/>
        </w:rPr>
      </w:pPr>
    </w:p>
    <w:p>
      <w:pPr>
        <w:spacing w:line="276" w:lineRule="auto"/>
        <w:rPr>
          <w:rFonts w:ascii="宋体" w:hAnsi="宋体" w:eastAsia="宋体" w:cs="宋体"/>
          <w:bCs/>
          <w:sz w:val="24"/>
          <w:szCs w:val="24"/>
          <w:highlight w:val="none"/>
        </w:rPr>
      </w:pPr>
    </w:p>
    <w:p>
      <w:pPr>
        <w:spacing w:line="276" w:lineRule="auto"/>
        <w:rPr>
          <w:rFonts w:ascii="宋体" w:hAnsi="宋体" w:eastAsia="宋体" w:cs="宋体"/>
          <w:bCs/>
          <w:sz w:val="24"/>
          <w:szCs w:val="24"/>
          <w:highlight w:val="none"/>
        </w:rPr>
      </w:pPr>
    </w:p>
    <w:p>
      <w:pPr>
        <w:pStyle w:val="3"/>
        <w:tabs>
          <w:tab w:val="clear" w:pos="3360"/>
        </w:tabs>
        <w:spacing w:before="312" w:after="156" w:line="276" w:lineRule="auto"/>
        <w:rPr>
          <w:rFonts w:cs="宋体"/>
          <w:b/>
          <w:sz w:val="24"/>
          <w:szCs w:val="24"/>
          <w:highlight w:val="none"/>
        </w:rPr>
      </w:pPr>
      <w:bookmarkStart w:id="105" w:name="_Toc31333"/>
      <w:bookmarkStart w:id="106" w:name="_Toc422381004"/>
      <w:bookmarkStart w:id="107" w:name="_Toc10975"/>
      <w:r>
        <w:rPr>
          <w:rFonts w:hint="eastAsia" w:cs="宋体"/>
          <w:b/>
          <w:sz w:val="24"/>
          <w:szCs w:val="24"/>
          <w:highlight w:val="none"/>
        </w:rPr>
        <w:t>四、法定代表人授权委托书</w:t>
      </w:r>
      <w:bookmarkEnd w:id="103"/>
      <w:bookmarkEnd w:id="104"/>
      <w:bookmarkEnd w:id="105"/>
      <w:bookmarkEnd w:id="106"/>
      <w:bookmarkEnd w:id="107"/>
    </w:p>
    <w:p>
      <w:pPr>
        <w:tabs>
          <w:tab w:val="left" w:pos="6300"/>
        </w:tabs>
        <w:snapToGrid w:val="0"/>
        <w:spacing w:line="276"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法定代表人授权委托书</w:t>
      </w:r>
    </w:p>
    <w:p>
      <w:pPr>
        <w:tabs>
          <w:tab w:val="left" w:pos="6300"/>
        </w:tabs>
        <w:snapToGrid w:val="0"/>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项目名称：____</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_</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__________</w:t>
      </w:r>
    </w:p>
    <w:p>
      <w:pPr>
        <w:tabs>
          <w:tab w:val="left" w:pos="6300"/>
        </w:tabs>
        <w:snapToGrid w:val="0"/>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日    期：_________</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______</w:t>
      </w:r>
    </w:p>
    <w:p>
      <w:pPr>
        <w:tabs>
          <w:tab w:val="left" w:pos="6300"/>
        </w:tabs>
        <w:snapToGrid w:val="0"/>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致：_</w:t>
      </w:r>
      <w:r>
        <w:rPr>
          <w:rFonts w:hint="eastAsia" w:ascii="宋体" w:hAnsi="宋体" w:eastAsia="宋体" w:cs="宋体"/>
          <w:sz w:val="24"/>
          <w:szCs w:val="24"/>
          <w:highlight w:val="none"/>
          <w:u w:val="single"/>
        </w:rPr>
        <w:t>四川外国语大学</w:t>
      </w:r>
      <w:r>
        <w:rPr>
          <w:rFonts w:hint="eastAsia" w:ascii="宋体" w:hAnsi="宋体" w:eastAsia="宋体" w:cs="宋体"/>
          <w:sz w:val="24"/>
          <w:szCs w:val="24"/>
          <w:highlight w:val="none"/>
        </w:rPr>
        <w:t>_</w:t>
      </w:r>
    </w:p>
    <w:p>
      <w:pPr>
        <w:tabs>
          <w:tab w:val="left" w:pos="6300"/>
        </w:tabs>
        <w:snapToGrid w:val="0"/>
        <w:spacing w:line="276" w:lineRule="auto"/>
        <w:ind w:firstLine="555"/>
        <w:rPr>
          <w:rFonts w:ascii="宋体" w:hAnsi="宋体" w:eastAsia="宋体" w:cs="宋体"/>
          <w:sz w:val="24"/>
          <w:szCs w:val="24"/>
          <w:highlight w:val="none"/>
        </w:rPr>
      </w:pPr>
      <w:r>
        <w:rPr>
          <w:rFonts w:hint="eastAsia" w:ascii="宋体" w:hAnsi="宋体" w:eastAsia="宋体" w:cs="宋体"/>
          <w:sz w:val="24"/>
          <w:szCs w:val="24"/>
          <w:highlight w:val="none"/>
        </w:rPr>
        <w:t>_____________________（参竞人名称）是中华人民共和国合法企业，法定地址______________________________。</w:t>
      </w:r>
    </w:p>
    <w:p>
      <w:pPr>
        <w:tabs>
          <w:tab w:val="left" w:pos="6300"/>
        </w:tabs>
        <w:snapToGrid w:val="0"/>
        <w:spacing w:line="276" w:lineRule="auto"/>
        <w:ind w:firstLine="555"/>
        <w:rPr>
          <w:rFonts w:ascii="宋体" w:hAnsi="宋体" w:eastAsia="宋体" w:cs="宋体"/>
          <w:sz w:val="24"/>
          <w:szCs w:val="24"/>
          <w:highlight w:val="none"/>
        </w:rPr>
      </w:pPr>
      <w:r>
        <w:rPr>
          <w:rFonts w:hint="eastAsia" w:ascii="宋体" w:hAnsi="宋体" w:eastAsia="宋体" w:cs="宋体"/>
          <w:sz w:val="24"/>
          <w:szCs w:val="24"/>
          <w:highlight w:val="none"/>
        </w:rPr>
        <w:t xml:space="preserve"> _________（参竞人法定代表人姓名）特授权_________（被授权人姓名及身份证代码）代表我单位全权办理对上述项目的前期接洽、签约等具体工作，并签署全部有关的文件、协议及合同。</w:t>
      </w:r>
    </w:p>
    <w:p>
      <w:pPr>
        <w:tabs>
          <w:tab w:val="left" w:pos="6300"/>
        </w:tabs>
        <w:snapToGrid w:val="0"/>
        <w:spacing w:line="276" w:lineRule="auto"/>
        <w:ind w:firstLine="555"/>
        <w:rPr>
          <w:rFonts w:ascii="宋体" w:hAnsi="宋体" w:eastAsia="宋体" w:cs="宋体"/>
          <w:sz w:val="24"/>
          <w:szCs w:val="24"/>
          <w:highlight w:val="none"/>
        </w:rPr>
      </w:pPr>
      <w:r>
        <w:rPr>
          <w:rFonts w:hint="eastAsia" w:ascii="宋体" w:hAnsi="宋体" w:eastAsia="宋体" w:cs="宋体"/>
          <w:sz w:val="24"/>
          <w:szCs w:val="24"/>
          <w:highlight w:val="none"/>
        </w:rPr>
        <w:t>我单位对被授权人的签名负全部责任。</w:t>
      </w:r>
    </w:p>
    <w:p>
      <w:pPr>
        <w:tabs>
          <w:tab w:val="left" w:pos="6300"/>
        </w:tabs>
        <w:snapToGrid w:val="0"/>
        <w:spacing w:line="276" w:lineRule="auto"/>
        <w:ind w:firstLine="555"/>
        <w:rPr>
          <w:rFonts w:ascii="宋体" w:hAnsi="宋体" w:eastAsia="宋体" w:cs="宋体"/>
          <w:sz w:val="24"/>
          <w:szCs w:val="24"/>
          <w:highlight w:val="none"/>
        </w:rPr>
      </w:pPr>
      <w:r>
        <w:rPr>
          <w:rFonts w:hint="eastAsia" w:ascii="宋体" w:hAnsi="宋体" w:eastAsia="宋体" w:cs="宋体"/>
          <w:sz w:val="24"/>
          <w:szCs w:val="24"/>
          <w:highlight w:val="none"/>
        </w:rPr>
        <w:t>在撤消授权的书面通知以前，本授权书一直有效。在授权书有效期内被授权人签署的所有文件不因授权的撤消而失效。</w:t>
      </w:r>
    </w:p>
    <w:p>
      <w:pPr>
        <w:tabs>
          <w:tab w:val="left" w:pos="6300"/>
        </w:tabs>
        <w:snapToGrid w:val="0"/>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被授权人签名：                       法定代表人签名：</w:t>
      </w:r>
    </w:p>
    <w:p>
      <w:pPr>
        <w:tabs>
          <w:tab w:val="left" w:pos="6300"/>
        </w:tabs>
        <w:snapToGrid w:val="0"/>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职        务：                       职          务：</w:t>
      </w:r>
    </w:p>
    <w:p>
      <w:pPr>
        <w:spacing w:line="276" w:lineRule="auto"/>
        <w:rPr>
          <w:rFonts w:ascii="宋体" w:hAnsi="宋体" w:eastAsia="宋体" w:cs="宋体"/>
          <w:vanish/>
          <w:sz w:val="24"/>
          <w:szCs w:val="24"/>
          <w:highlight w:val="none"/>
        </w:rPr>
      </w:pPr>
    </w:p>
    <w:p>
      <w:pPr>
        <w:spacing w:line="276" w:lineRule="auto"/>
        <w:rPr>
          <w:rFonts w:ascii="宋体" w:hAnsi="宋体" w:eastAsia="宋体" w:cs="宋体"/>
          <w:vanish/>
          <w:sz w:val="24"/>
          <w:szCs w:val="24"/>
          <w:highlight w:val="none"/>
        </w:rPr>
      </w:pPr>
    </w:p>
    <w:tbl>
      <w:tblPr>
        <w:tblStyle w:val="33"/>
        <w:tblpPr w:leftFromText="180" w:rightFromText="180" w:vertAnchor="text" w:horzAnchor="page" w:tblpX="1942" w:tblpY="15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24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102" w:hRule="atLeast"/>
        </w:trPr>
        <w:tc>
          <w:tcPr>
            <w:tcW w:w="4248" w:type="dxa"/>
          </w:tcPr>
          <w:p>
            <w:pPr>
              <w:spacing w:line="276" w:lineRule="auto"/>
              <w:ind w:firstLine="241" w:firstLineChars="100"/>
              <w:rPr>
                <w:rFonts w:ascii="宋体" w:hAnsi="宋体" w:eastAsia="宋体" w:cs="宋体"/>
                <w:b/>
                <w:sz w:val="24"/>
                <w:szCs w:val="24"/>
                <w:highlight w:val="none"/>
              </w:rPr>
            </w:pPr>
            <w:r>
              <w:rPr>
                <w:rFonts w:hint="eastAsia" w:ascii="宋体" w:hAnsi="宋体" w:eastAsia="宋体" w:cs="宋体"/>
                <w:b/>
                <w:sz w:val="24"/>
                <w:szCs w:val="24"/>
                <w:highlight w:val="none"/>
              </w:rPr>
              <w:t>法定代表人身份证复印件（正反面）</w:t>
            </w:r>
          </w:p>
          <w:p>
            <w:pPr>
              <w:spacing w:line="276" w:lineRule="auto"/>
              <w:rPr>
                <w:rFonts w:ascii="宋体" w:hAnsi="宋体" w:eastAsia="宋体" w:cs="宋体"/>
                <w:b/>
                <w:sz w:val="24"/>
                <w:szCs w:val="24"/>
                <w:highlight w:val="none"/>
              </w:rPr>
            </w:pPr>
          </w:p>
          <w:p>
            <w:pPr>
              <w:spacing w:line="276" w:lineRule="auto"/>
              <w:rPr>
                <w:rFonts w:ascii="宋体" w:hAnsi="宋体" w:eastAsia="宋体" w:cs="宋体"/>
                <w:b/>
                <w:sz w:val="24"/>
                <w:szCs w:val="24"/>
                <w:highlight w:val="none"/>
              </w:rPr>
            </w:pPr>
          </w:p>
          <w:p>
            <w:pPr>
              <w:spacing w:line="276" w:lineRule="auto"/>
              <w:rPr>
                <w:rFonts w:ascii="宋体" w:hAnsi="宋体" w:eastAsia="宋体" w:cs="宋体"/>
                <w:b/>
                <w:sz w:val="24"/>
                <w:szCs w:val="24"/>
                <w:highlight w:val="none"/>
              </w:rPr>
            </w:pPr>
          </w:p>
        </w:tc>
      </w:tr>
    </w:tbl>
    <w:p>
      <w:pPr>
        <w:spacing w:line="276" w:lineRule="auto"/>
        <w:rPr>
          <w:rFonts w:ascii="宋体" w:hAnsi="宋体" w:eastAsia="宋体" w:cs="宋体"/>
          <w:vanish/>
          <w:sz w:val="24"/>
          <w:szCs w:val="24"/>
          <w:highlight w:val="none"/>
        </w:rPr>
      </w:pPr>
    </w:p>
    <w:tbl>
      <w:tblPr>
        <w:tblStyle w:val="33"/>
        <w:tblpPr w:leftFromText="180" w:rightFromText="180" w:vertAnchor="text" w:horzAnchor="page" w:tblpX="6952" w:tblpY="24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105" w:hRule="atLeast"/>
        </w:trPr>
        <w:tc>
          <w:tcPr>
            <w:tcW w:w="3960" w:type="dxa"/>
          </w:tcPr>
          <w:p>
            <w:pPr>
              <w:spacing w:line="276" w:lineRule="auto"/>
              <w:rPr>
                <w:rFonts w:ascii="宋体" w:hAnsi="宋体" w:eastAsia="宋体" w:cs="宋体"/>
                <w:b/>
                <w:sz w:val="24"/>
                <w:szCs w:val="24"/>
                <w:highlight w:val="none"/>
              </w:rPr>
            </w:pPr>
            <w:r>
              <w:rPr>
                <w:rFonts w:hint="eastAsia" w:ascii="宋体" w:hAnsi="宋体" w:eastAsia="宋体" w:cs="宋体"/>
                <w:b/>
                <w:sz w:val="24"/>
                <w:szCs w:val="24"/>
                <w:highlight w:val="none"/>
              </w:rPr>
              <w:t>授权代理人身份证复印件（正反面）</w:t>
            </w:r>
          </w:p>
          <w:p>
            <w:pPr>
              <w:spacing w:line="276" w:lineRule="auto"/>
              <w:rPr>
                <w:rFonts w:ascii="宋体" w:hAnsi="宋体" w:eastAsia="宋体" w:cs="宋体"/>
                <w:b/>
                <w:sz w:val="24"/>
                <w:szCs w:val="24"/>
                <w:highlight w:val="none"/>
              </w:rPr>
            </w:pPr>
          </w:p>
          <w:p>
            <w:pPr>
              <w:spacing w:line="276" w:lineRule="auto"/>
              <w:rPr>
                <w:rFonts w:ascii="宋体" w:hAnsi="宋体" w:eastAsia="宋体" w:cs="宋体"/>
                <w:b/>
                <w:sz w:val="24"/>
                <w:szCs w:val="24"/>
                <w:highlight w:val="none"/>
              </w:rPr>
            </w:pPr>
          </w:p>
          <w:p>
            <w:pPr>
              <w:spacing w:line="276" w:lineRule="auto"/>
              <w:rPr>
                <w:rFonts w:ascii="宋体" w:hAnsi="宋体" w:eastAsia="宋体" w:cs="宋体"/>
                <w:b/>
                <w:sz w:val="24"/>
                <w:szCs w:val="24"/>
                <w:highlight w:val="none"/>
              </w:rPr>
            </w:pPr>
          </w:p>
        </w:tc>
      </w:tr>
    </w:tbl>
    <w:p>
      <w:pPr>
        <w:spacing w:line="276" w:lineRule="auto"/>
        <w:rPr>
          <w:rFonts w:ascii="宋体" w:hAnsi="宋体" w:eastAsia="宋体" w:cs="宋体"/>
          <w:b/>
          <w:sz w:val="24"/>
          <w:szCs w:val="24"/>
          <w:highlight w:val="none"/>
        </w:rPr>
      </w:pPr>
    </w:p>
    <w:p>
      <w:pPr>
        <w:tabs>
          <w:tab w:val="left" w:pos="6300"/>
        </w:tabs>
        <w:snapToGrid w:val="0"/>
        <w:spacing w:line="276" w:lineRule="auto"/>
        <w:rPr>
          <w:rFonts w:ascii="宋体" w:hAnsi="宋体" w:eastAsia="宋体" w:cs="宋体"/>
          <w:sz w:val="24"/>
          <w:szCs w:val="24"/>
          <w:highlight w:val="none"/>
        </w:rPr>
      </w:pPr>
    </w:p>
    <w:p>
      <w:pPr>
        <w:snapToGrid w:val="0"/>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w:t>
      </w:r>
    </w:p>
    <w:p>
      <w:pPr>
        <w:snapToGrid w:val="0"/>
        <w:spacing w:line="276" w:lineRule="auto"/>
        <w:rPr>
          <w:rFonts w:ascii="宋体" w:hAnsi="宋体" w:eastAsia="宋体" w:cs="宋体"/>
          <w:sz w:val="24"/>
          <w:szCs w:val="24"/>
          <w:highlight w:val="none"/>
        </w:rPr>
      </w:pPr>
    </w:p>
    <w:p>
      <w:pPr>
        <w:snapToGrid w:val="0"/>
        <w:spacing w:line="276" w:lineRule="auto"/>
        <w:rPr>
          <w:rFonts w:ascii="宋体" w:hAnsi="宋体" w:eastAsia="宋体" w:cs="宋体"/>
          <w:sz w:val="24"/>
          <w:szCs w:val="24"/>
          <w:highlight w:val="none"/>
        </w:rPr>
      </w:pPr>
    </w:p>
    <w:p>
      <w:pPr>
        <w:snapToGrid w:val="0"/>
        <w:spacing w:line="276" w:lineRule="auto"/>
        <w:rPr>
          <w:rFonts w:ascii="宋体" w:hAnsi="宋体" w:eastAsia="宋体" w:cs="宋体"/>
          <w:sz w:val="24"/>
          <w:szCs w:val="24"/>
          <w:highlight w:val="none"/>
        </w:rPr>
      </w:pPr>
    </w:p>
    <w:p>
      <w:pPr>
        <w:snapToGrid w:val="0"/>
        <w:spacing w:line="276" w:lineRule="auto"/>
        <w:rPr>
          <w:rFonts w:ascii="宋体" w:hAnsi="宋体" w:eastAsia="宋体" w:cs="宋体"/>
          <w:sz w:val="24"/>
          <w:szCs w:val="24"/>
          <w:highlight w:val="none"/>
        </w:rPr>
      </w:pPr>
    </w:p>
    <w:p>
      <w:pPr>
        <w:snapToGrid w:val="0"/>
        <w:spacing w:line="276" w:lineRule="auto"/>
        <w:rPr>
          <w:rFonts w:ascii="宋体" w:hAnsi="宋体" w:eastAsia="宋体" w:cs="宋体"/>
          <w:sz w:val="24"/>
          <w:szCs w:val="24"/>
          <w:highlight w:val="none"/>
        </w:rPr>
      </w:pPr>
    </w:p>
    <w:p>
      <w:pPr>
        <w:snapToGrid w:val="0"/>
        <w:spacing w:line="276" w:lineRule="auto"/>
        <w:rPr>
          <w:rFonts w:ascii="宋体" w:hAnsi="宋体" w:eastAsia="宋体" w:cs="宋体"/>
          <w:sz w:val="24"/>
          <w:szCs w:val="24"/>
          <w:highlight w:val="none"/>
        </w:rPr>
      </w:pPr>
    </w:p>
    <w:p>
      <w:pPr>
        <w:snapToGrid w:val="0"/>
        <w:spacing w:line="276" w:lineRule="auto"/>
        <w:rPr>
          <w:rFonts w:ascii="宋体" w:hAnsi="宋体" w:eastAsia="宋体" w:cs="宋体"/>
          <w:sz w:val="24"/>
          <w:szCs w:val="24"/>
          <w:highlight w:val="none"/>
        </w:rPr>
      </w:pP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参竞人公章                          年   月    日</w:t>
      </w:r>
    </w:p>
    <w:p>
      <w:pPr>
        <w:spacing w:line="276" w:lineRule="auto"/>
        <w:ind w:firstLine="480" w:firstLineChars="200"/>
        <w:rPr>
          <w:rFonts w:ascii="宋体" w:hAnsi="宋体" w:eastAsia="宋体" w:cs="宋体"/>
          <w:sz w:val="24"/>
          <w:szCs w:val="24"/>
          <w:highlight w:val="none"/>
        </w:rPr>
      </w:pPr>
    </w:p>
    <w:p>
      <w:pPr>
        <w:spacing w:line="276" w:lineRule="auto"/>
        <w:ind w:firstLine="480" w:firstLineChars="200"/>
        <w:rPr>
          <w:rFonts w:ascii="宋体" w:hAnsi="宋体" w:eastAsia="宋体" w:cs="宋体"/>
          <w:sz w:val="24"/>
          <w:szCs w:val="24"/>
          <w:highlight w:val="none"/>
        </w:rPr>
      </w:pPr>
    </w:p>
    <w:p>
      <w:pPr>
        <w:spacing w:line="276" w:lineRule="auto"/>
        <w:ind w:firstLine="480" w:firstLineChars="200"/>
        <w:rPr>
          <w:rFonts w:ascii="宋体" w:hAnsi="宋体" w:eastAsia="宋体" w:cs="宋体"/>
          <w:sz w:val="24"/>
          <w:szCs w:val="24"/>
          <w:highlight w:val="none"/>
        </w:rPr>
      </w:pPr>
    </w:p>
    <w:p>
      <w:pPr>
        <w:pStyle w:val="16"/>
        <w:rPr>
          <w:rFonts w:ascii="宋体" w:hAnsi="宋体" w:eastAsia="宋体" w:cs="宋体"/>
          <w:b/>
          <w:bCs/>
          <w:sz w:val="24"/>
          <w:szCs w:val="24"/>
          <w:highlight w:val="none"/>
        </w:rPr>
        <w:sectPr>
          <w:pgSz w:w="11906" w:h="16838"/>
          <w:pgMar w:top="1440" w:right="1134" w:bottom="1440" w:left="1797" w:header="851" w:footer="992" w:gutter="0"/>
          <w:cols w:space="720" w:num="1"/>
          <w:docGrid w:type="lines" w:linePitch="312" w:charSpace="-5735"/>
        </w:sectPr>
      </w:pPr>
      <w:r>
        <w:rPr>
          <w:rFonts w:hint="eastAsia" w:ascii="宋体" w:hAnsi="宋体" w:eastAsia="宋体" w:cs="宋体"/>
          <w:b/>
          <w:bCs/>
          <w:sz w:val="24"/>
          <w:szCs w:val="24"/>
          <w:highlight w:val="none"/>
        </w:rPr>
        <w:t>注：由法定代表人办理并签署参竞文件的，不提供《法定代表人授权委托书》</w:t>
      </w:r>
    </w:p>
    <w:p>
      <w:pPr>
        <w:pStyle w:val="3"/>
        <w:tabs>
          <w:tab w:val="clear" w:pos="3360"/>
        </w:tabs>
        <w:spacing w:before="312" w:after="156" w:line="276" w:lineRule="auto"/>
        <w:rPr>
          <w:rFonts w:cs="宋体"/>
          <w:b/>
          <w:sz w:val="24"/>
          <w:szCs w:val="24"/>
          <w:highlight w:val="none"/>
        </w:rPr>
      </w:pPr>
      <w:r>
        <w:rPr>
          <w:rFonts w:hint="eastAsia" w:cs="宋体"/>
          <w:b/>
          <w:sz w:val="24"/>
          <w:szCs w:val="24"/>
          <w:highlight w:val="none"/>
        </w:rPr>
        <w:t>五、参竞人承诺函</w:t>
      </w:r>
    </w:p>
    <w:p>
      <w:pPr>
        <w:tabs>
          <w:tab w:val="left" w:pos="6300"/>
        </w:tabs>
        <w:snapToGrid w:val="0"/>
        <w:spacing w:line="276"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参竞人承诺函</w:t>
      </w:r>
    </w:p>
    <w:p>
      <w:pPr>
        <w:tabs>
          <w:tab w:val="left" w:pos="6300"/>
        </w:tabs>
        <w:snapToGrid w:val="0"/>
        <w:spacing w:line="276" w:lineRule="auto"/>
        <w:rPr>
          <w:rFonts w:ascii="宋体" w:hAnsi="宋体" w:eastAsia="宋体" w:cs="宋体"/>
          <w:sz w:val="24"/>
          <w:szCs w:val="24"/>
          <w:highlight w:val="none"/>
          <w:u w:val="singl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u w:val="single"/>
        </w:rPr>
        <w:t xml:space="preserve">                        </w:t>
      </w:r>
    </w:p>
    <w:p>
      <w:pPr>
        <w:tabs>
          <w:tab w:val="left" w:pos="6300"/>
        </w:tabs>
        <w:snapToGrid w:val="0"/>
        <w:spacing w:line="276" w:lineRule="auto"/>
        <w:rPr>
          <w:rFonts w:ascii="宋体" w:hAnsi="宋体" w:eastAsia="宋体" w:cs="宋体"/>
          <w:sz w:val="24"/>
          <w:szCs w:val="24"/>
          <w:highlight w:val="none"/>
          <w:u w:val="singl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p>
    <w:p>
      <w:pPr>
        <w:tabs>
          <w:tab w:val="left" w:pos="6300"/>
        </w:tabs>
        <w:snapToGrid w:val="0"/>
        <w:spacing w:line="276" w:lineRule="auto"/>
        <w:rPr>
          <w:rFonts w:ascii="宋体" w:hAnsi="宋体" w:eastAsia="宋体" w:cs="宋体"/>
          <w:sz w:val="24"/>
          <w:szCs w:val="24"/>
          <w:highlight w:val="none"/>
        </w:rPr>
      </w:pPr>
    </w:p>
    <w:p>
      <w:pPr>
        <w:tabs>
          <w:tab w:val="left" w:pos="6300"/>
        </w:tabs>
        <w:snapToGrid w:val="0"/>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四川外国语大学 </w:t>
      </w:r>
    </w:p>
    <w:p>
      <w:pPr>
        <w:tabs>
          <w:tab w:val="left" w:pos="6300"/>
        </w:tabs>
        <w:snapToGrid w:val="0"/>
        <w:spacing w:line="276" w:lineRule="auto"/>
        <w:ind w:firstLine="570"/>
        <w:rPr>
          <w:rFonts w:ascii="宋体" w:hAnsi="宋体" w:eastAsia="宋体" w:cs="宋体"/>
          <w:sz w:val="24"/>
          <w:szCs w:val="24"/>
          <w:highlight w:val="none"/>
        </w:rPr>
      </w:pPr>
      <w:r>
        <w:rPr>
          <w:rFonts w:hint="eastAsia" w:ascii="宋体" w:hAnsi="宋体" w:eastAsia="宋体" w:cs="宋体"/>
          <w:sz w:val="24"/>
          <w:szCs w:val="24"/>
          <w:highlight w:val="none"/>
        </w:rPr>
        <w:t>很荣幸能参与上述项目的参竞。</w:t>
      </w:r>
    </w:p>
    <w:p>
      <w:pPr>
        <w:tabs>
          <w:tab w:val="left" w:pos="6300"/>
        </w:tabs>
        <w:snapToGrid w:val="0"/>
        <w:spacing w:line="276" w:lineRule="auto"/>
        <w:ind w:firstLine="570"/>
        <w:rPr>
          <w:rFonts w:ascii="宋体" w:hAnsi="宋体" w:eastAsia="宋体" w:cs="宋体"/>
          <w:sz w:val="24"/>
          <w:szCs w:val="24"/>
          <w:highlight w:val="none"/>
        </w:rPr>
      </w:pPr>
      <w:r>
        <w:rPr>
          <w:rFonts w:hint="eastAsia" w:ascii="宋体" w:hAnsi="宋体" w:eastAsia="宋体" w:cs="宋体"/>
          <w:sz w:val="24"/>
          <w:szCs w:val="24"/>
          <w:highlight w:val="none"/>
        </w:rPr>
        <w:t>我代表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（参竞人名称），在此作如下承诺：</w:t>
      </w:r>
    </w:p>
    <w:p>
      <w:pPr>
        <w:numPr>
          <w:ilvl w:val="0"/>
          <w:numId w:val="26"/>
        </w:numPr>
        <w:tabs>
          <w:tab w:val="left" w:pos="900"/>
          <w:tab w:val="left" w:pos="6300"/>
          <w:tab w:val="clear" w:pos="1410"/>
        </w:tabs>
        <w:snapToGrid w:val="0"/>
        <w:spacing w:line="276" w:lineRule="auto"/>
        <w:ind w:left="900" w:hanging="360"/>
        <w:rPr>
          <w:rFonts w:ascii="宋体" w:hAnsi="宋体" w:eastAsia="宋体" w:cs="宋体"/>
          <w:sz w:val="24"/>
          <w:szCs w:val="24"/>
          <w:highlight w:val="none"/>
        </w:rPr>
      </w:pPr>
      <w:r>
        <w:rPr>
          <w:rFonts w:hint="eastAsia" w:ascii="宋体" w:hAnsi="宋体" w:eastAsia="宋体" w:cs="宋体"/>
          <w:sz w:val="24"/>
          <w:szCs w:val="24"/>
          <w:highlight w:val="none"/>
        </w:rPr>
        <w:t>完全理解和接受食堂联合经营项目文件的一切规定和要求。</w:t>
      </w:r>
    </w:p>
    <w:p>
      <w:pPr>
        <w:numPr>
          <w:ilvl w:val="0"/>
          <w:numId w:val="26"/>
        </w:numPr>
        <w:tabs>
          <w:tab w:val="left" w:pos="900"/>
          <w:tab w:val="left" w:pos="6300"/>
          <w:tab w:val="clear" w:pos="1410"/>
        </w:tabs>
        <w:snapToGrid w:val="0"/>
        <w:spacing w:line="276" w:lineRule="auto"/>
        <w:ind w:left="900" w:hanging="360"/>
        <w:rPr>
          <w:rFonts w:ascii="宋体" w:hAnsi="宋体" w:eastAsia="宋体" w:cs="宋体"/>
          <w:sz w:val="24"/>
          <w:szCs w:val="24"/>
          <w:highlight w:val="none"/>
        </w:rPr>
      </w:pPr>
      <w:r>
        <w:rPr>
          <w:rFonts w:hint="eastAsia" w:ascii="宋体" w:hAnsi="宋体" w:eastAsia="宋体" w:cs="宋体"/>
          <w:sz w:val="24"/>
          <w:szCs w:val="24"/>
          <w:highlight w:val="none"/>
        </w:rPr>
        <w:t>参竞报价（综合单价）为闭口价。即在参竞有效期内，该报价固定不变。</w:t>
      </w:r>
    </w:p>
    <w:p>
      <w:pPr>
        <w:numPr>
          <w:ilvl w:val="0"/>
          <w:numId w:val="26"/>
        </w:numPr>
        <w:tabs>
          <w:tab w:val="left" w:pos="0"/>
          <w:tab w:val="clear" w:pos="1410"/>
        </w:tabs>
        <w:snapToGrid w:val="0"/>
        <w:spacing w:line="276" w:lineRule="auto"/>
        <w:ind w:left="0" w:firstLine="540"/>
        <w:rPr>
          <w:rFonts w:ascii="宋体" w:hAnsi="宋体" w:eastAsia="宋体" w:cs="宋体"/>
          <w:sz w:val="24"/>
          <w:szCs w:val="24"/>
          <w:highlight w:val="none"/>
        </w:rPr>
      </w:pPr>
      <w:r>
        <w:rPr>
          <w:rFonts w:hint="eastAsia" w:ascii="宋体" w:hAnsi="宋体" w:eastAsia="宋体" w:cs="宋体"/>
          <w:sz w:val="24"/>
          <w:szCs w:val="24"/>
          <w:highlight w:val="none"/>
        </w:rPr>
        <w:t>若拟成交，我方将按照食堂联合经营项目文件的具体规定与学校签订合同，并且严格履行合同义务。</w:t>
      </w:r>
    </w:p>
    <w:p>
      <w:pPr>
        <w:tabs>
          <w:tab w:val="left" w:pos="6300"/>
        </w:tabs>
        <w:snapToGrid w:val="0"/>
        <w:spacing w:line="276" w:lineRule="auto"/>
        <w:ind w:firstLine="570"/>
        <w:rPr>
          <w:rFonts w:ascii="宋体" w:hAnsi="宋体" w:eastAsia="宋体" w:cs="宋体"/>
          <w:sz w:val="24"/>
          <w:szCs w:val="24"/>
          <w:highlight w:val="none"/>
        </w:rPr>
      </w:pPr>
      <w:r>
        <w:rPr>
          <w:rFonts w:hint="eastAsia" w:ascii="宋体" w:hAnsi="宋体" w:eastAsia="宋体" w:cs="宋体"/>
          <w:sz w:val="24"/>
          <w:szCs w:val="24"/>
          <w:highlight w:val="none"/>
        </w:rPr>
        <w:t>4．在整个参竞过程中，我方若有违规行为，贵方可按食堂联合经营项目文件和相关法律之规定给予惩罚，我方完全接受。</w:t>
      </w:r>
    </w:p>
    <w:p>
      <w:pPr>
        <w:tabs>
          <w:tab w:val="left" w:pos="6300"/>
        </w:tabs>
        <w:snapToGrid w:val="0"/>
        <w:spacing w:line="276" w:lineRule="auto"/>
        <w:ind w:firstLine="570"/>
        <w:rPr>
          <w:rFonts w:ascii="宋体" w:hAnsi="宋体" w:eastAsia="宋体" w:cs="宋体"/>
          <w:sz w:val="24"/>
          <w:szCs w:val="24"/>
          <w:highlight w:val="none"/>
        </w:rPr>
      </w:pPr>
      <w:r>
        <w:rPr>
          <w:rFonts w:hint="eastAsia" w:ascii="宋体" w:hAnsi="宋体" w:eastAsia="宋体" w:cs="宋体"/>
          <w:sz w:val="24"/>
          <w:szCs w:val="24"/>
          <w:highlight w:val="none"/>
        </w:rPr>
        <w:t>5．若拟成交，本承诺函将成为合同不可分割的一部分，与合同具有同等的法律效力。</w:t>
      </w:r>
    </w:p>
    <w:p>
      <w:pPr>
        <w:tabs>
          <w:tab w:val="left" w:pos="6300"/>
        </w:tabs>
        <w:snapToGrid w:val="0"/>
        <w:spacing w:line="276" w:lineRule="auto"/>
        <w:rPr>
          <w:rFonts w:ascii="宋体" w:hAnsi="宋体" w:eastAsia="宋体" w:cs="宋体"/>
          <w:sz w:val="24"/>
          <w:szCs w:val="24"/>
          <w:highlight w:val="none"/>
        </w:rPr>
      </w:pPr>
    </w:p>
    <w:p>
      <w:pPr>
        <w:tabs>
          <w:tab w:val="left" w:pos="6300"/>
        </w:tabs>
        <w:snapToGrid w:val="0"/>
        <w:spacing w:line="276" w:lineRule="auto"/>
        <w:ind w:firstLine="4788" w:firstLineChars="1995"/>
        <w:rPr>
          <w:rFonts w:ascii="宋体" w:hAnsi="宋体" w:eastAsia="宋体" w:cs="宋体"/>
          <w:sz w:val="24"/>
          <w:szCs w:val="24"/>
          <w:highlight w:val="none"/>
        </w:rPr>
      </w:pPr>
      <w:r>
        <w:rPr>
          <w:rFonts w:hint="eastAsia" w:ascii="宋体" w:hAnsi="宋体" w:eastAsia="宋体" w:cs="宋体"/>
          <w:sz w:val="24"/>
          <w:szCs w:val="24"/>
          <w:highlight w:val="none"/>
        </w:rPr>
        <w:t>法人/法人授权代表签字：</w:t>
      </w:r>
    </w:p>
    <w:p>
      <w:pPr>
        <w:tabs>
          <w:tab w:val="left" w:pos="6300"/>
        </w:tabs>
        <w:snapToGrid w:val="0"/>
        <w:spacing w:line="276" w:lineRule="auto"/>
        <w:ind w:firstLine="2268"/>
        <w:jc w:val="center"/>
        <w:rPr>
          <w:rFonts w:ascii="宋体" w:hAnsi="宋体" w:eastAsia="宋体" w:cs="宋体"/>
          <w:sz w:val="24"/>
          <w:szCs w:val="24"/>
          <w:highlight w:val="none"/>
        </w:rPr>
      </w:pPr>
      <w:r>
        <w:rPr>
          <w:rFonts w:hint="eastAsia" w:ascii="宋体" w:hAnsi="宋体" w:eastAsia="宋体" w:cs="宋体"/>
          <w:sz w:val="24"/>
          <w:szCs w:val="24"/>
          <w:highlight w:val="none"/>
        </w:rPr>
        <w:t>参竞人公章：</w:t>
      </w:r>
    </w:p>
    <w:p>
      <w:pPr>
        <w:tabs>
          <w:tab w:val="left" w:pos="6300"/>
        </w:tabs>
        <w:snapToGrid w:val="0"/>
        <w:spacing w:line="276" w:lineRule="auto"/>
        <w:ind w:firstLine="2268"/>
        <w:jc w:val="center"/>
        <w:rPr>
          <w:rFonts w:ascii="宋体" w:hAnsi="宋体" w:eastAsia="宋体" w:cs="宋体"/>
          <w:sz w:val="24"/>
          <w:szCs w:val="24"/>
          <w:highlight w:val="none"/>
        </w:rPr>
      </w:pPr>
    </w:p>
    <w:p>
      <w:pPr>
        <w:tabs>
          <w:tab w:val="left" w:pos="6300"/>
        </w:tabs>
        <w:snapToGrid w:val="0"/>
        <w:spacing w:line="276" w:lineRule="auto"/>
        <w:ind w:firstLine="2268"/>
        <w:jc w:val="center"/>
        <w:rPr>
          <w:rFonts w:ascii="宋体" w:hAnsi="宋体" w:eastAsia="宋体" w:cs="宋体"/>
          <w:sz w:val="24"/>
          <w:szCs w:val="24"/>
          <w:highlight w:val="none"/>
        </w:rPr>
        <w:sectPr>
          <w:pgSz w:w="11906" w:h="16838"/>
          <w:pgMar w:top="1440" w:right="1134" w:bottom="1440" w:left="1797" w:header="851" w:footer="992" w:gutter="0"/>
          <w:cols w:space="720" w:num="1"/>
          <w:docGrid w:type="lines" w:linePitch="312" w:charSpace="-5735"/>
        </w:sectPr>
      </w:pPr>
      <w:r>
        <w:rPr>
          <w:rFonts w:hint="eastAsia" w:ascii="宋体" w:hAnsi="宋体" w:eastAsia="宋体" w:cs="宋体"/>
          <w:sz w:val="24"/>
          <w:szCs w:val="24"/>
          <w:highlight w:val="none"/>
        </w:rPr>
        <w:t>年     月    日</w:t>
      </w:r>
    </w:p>
    <w:p>
      <w:pPr>
        <w:pStyle w:val="161"/>
        <w:numPr>
          <w:ilvl w:val="0"/>
          <w:numId w:val="27"/>
        </w:numPr>
        <w:tabs>
          <w:tab w:val="left" w:pos="6300"/>
        </w:tabs>
        <w:snapToGrid w:val="0"/>
        <w:spacing w:line="276" w:lineRule="auto"/>
        <w:ind w:firstLine="570"/>
        <w:rPr>
          <w:rFonts w:hint="default" w:ascii="宋体" w:hAnsi="宋体" w:cs="宋体"/>
          <w:b/>
          <w:sz w:val="24"/>
          <w:szCs w:val="24"/>
          <w:highlight w:val="none"/>
        </w:rPr>
      </w:pPr>
      <w:r>
        <w:rPr>
          <w:rFonts w:ascii="宋体" w:hAnsi="宋体" w:cs="宋体"/>
          <w:b/>
          <w:sz w:val="24"/>
          <w:szCs w:val="24"/>
          <w:highlight w:val="none"/>
        </w:rPr>
        <w:t>诚信声明</w:t>
      </w:r>
    </w:p>
    <w:p>
      <w:pPr>
        <w:pStyle w:val="161"/>
        <w:tabs>
          <w:tab w:val="left" w:pos="6300"/>
        </w:tabs>
        <w:snapToGrid w:val="0"/>
        <w:spacing w:line="276" w:lineRule="auto"/>
        <w:rPr>
          <w:rFonts w:hint="default" w:ascii="宋体" w:hAnsi="宋体" w:cs="宋体"/>
          <w:b/>
          <w:sz w:val="24"/>
          <w:szCs w:val="24"/>
          <w:highlight w:val="none"/>
        </w:rPr>
      </w:pPr>
    </w:p>
    <w:p>
      <w:pPr>
        <w:pStyle w:val="161"/>
        <w:tabs>
          <w:tab w:val="left" w:pos="6300"/>
        </w:tabs>
        <w:snapToGrid w:val="0"/>
        <w:spacing w:line="276" w:lineRule="auto"/>
        <w:ind w:firstLine="570"/>
        <w:rPr>
          <w:rFonts w:hint="default" w:ascii="宋体" w:hAnsi="宋体" w:cs="宋体"/>
          <w:sz w:val="24"/>
          <w:szCs w:val="24"/>
          <w:highlight w:val="none"/>
        </w:rPr>
      </w:pPr>
    </w:p>
    <w:p>
      <w:pPr>
        <w:pStyle w:val="161"/>
        <w:tabs>
          <w:tab w:val="left" w:pos="6300"/>
        </w:tabs>
        <w:snapToGrid w:val="0"/>
        <w:spacing w:line="276" w:lineRule="auto"/>
        <w:jc w:val="center"/>
        <w:rPr>
          <w:rFonts w:hint="default" w:ascii="宋体" w:hAnsi="宋体" w:cs="宋体"/>
          <w:sz w:val="24"/>
          <w:szCs w:val="24"/>
          <w:highlight w:val="none"/>
        </w:rPr>
      </w:pPr>
      <w:r>
        <w:rPr>
          <w:rFonts w:ascii="宋体" w:hAnsi="宋体" w:cs="宋体"/>
          <w:sz w:val="24"/>
          <w:szCs w:val="24"/>
          <w:highlight w:val="none"/>
        </w:rPr>
        <w:t>诚信声明</w:t>
      </w:r>
    </w:p>
    <w:p>
      <w:pPr>
        <w:pStyle w:val="161"/>
        <w:tabs>
          <w:tab w:val="left" w:pos="6300"/>
        </w:tabs>
        <w:snapToGrid w:val="0"/>
        <w:spacing w:line="276" w:lineRule="auto"/>
        <w:ind w:firstLine="480" w:firstLineChars="200"/>
        <w:rPr>
          <w:rFonts w:hint="default" w:ascii="宋体" w:hAnsi="宋体" w:cs="宋体"/>
          <w:sz w:val="24"/>
          <w:szCs w:val="24"/>
          <w:highlight w:val="none"/>
        </w:rPr>
      </w:pPr>
      <w:r>
        <w:rPr>
          <w:rFonts w:ascii="宋体" w:hAnsi="宋体" w:cs="宋体"/>
          <w:sz w:val="24"/>
          <w:szCs w:val="24"/>
          <w:highlight w:val="none"/>
        </w:rPr>
        <w:t xml:space="preserve">项目名称：                                                </w:t>
      </w:r>
    </w:p>
    <w:p>
      <w:pPr>
        <w:pStyle w:val="161"/>
        <w:tabs>
          <w:tab w:val="left" w:pos="6300"/>
        </w:tabs>
        <w:snapToGrid w:val="0"/>
        <w:spacing w:line="276" w:lineRule="auto"/>
        <w:ind w:firstLine="570"/>
        <w:rPr>
          <w:rFonts w:hint="default" w:ascii="宋体" w:hAnsi="宋体" w:cs="宋体"/>
          <w:sz w:val="24"/>
          <w:szCs w:val="24"/>
          <w:highlight w:val="none"/>
        </w:rPr>
      </w:pPr>
    </w:p>
    <w:p>
      <w:pPr>
        <w:pStyle w:val="161"/>
        <w:tabs>
          <w:tab w:val="left" w:pos="6300"/>
        </w:tabs>
        <w:snapToGrid w:val="0"/>
        <w:spacing w:line="276" w:lineRule="auto"/>
        <w:ind w:firstLine="480" w:firstLineChars="200"/>
        <w:rPr>
          <w:rFonts w:hint="default" w:ascii="宋体" w:hAnsi="宋体" w:cs="宋体"/>
          <w:sz w:val="24"/>
          <w:szCs w:val="24"/>
          <w:highlight w:val="none"/>
        </w:rPr>
      </w:pPr>
      <w:r>
        <w:rPr>
          <w:rFonts w:ascii="宋体" w:hAnsi="宋体" w:cs="宋体"/>
          <w:sz w:val="24"/>
          <w:szCs w:val="24"/>
          <w:highlight w:val="none"/>
        </w:rPr>
        <w:t>致：                   （学校名称）：</w:t>
      </w:r>
    </w:p>
    <w:p>
      <w:pPr>
        <w:pStyle w:val="161"/>
        <w:tabs>
          <w:tab w:val="left" w:pos="6300"/>
        </w:tabs>
        <w:snapToGrid w:val="0"/>
        <w:spacing w:line="276" w:lineRule="auto"/>
        <w:ind w:firstLine="480" w:firstLineChars="200"/>
        <w:rPr>
          <w:rFonts w:hint="default" w:ascii="宋体" w:hAnsi="宋体" w:cs="宋体"/>
          <w:sz w:val="24"/>
          <w:szCs w:val="24"/>
          <w:highlight w:val="none"/>
        </w:rPr>
      </w:pPr>
      <w:r>
        <w:rPr>
          <w:rFonts w:ascii="宋体" w:hAnsi="宋体" w:cs="宋体"/>
          <w:sz w:val="24"/>
          <w:szCs w:val="24"/>
          <w:highlight w:val="none"/>
        </w:rPr>
        <w:t xml:space="preserve">                      （参竞人名称）郑重声明，我公司具有良好的商业信誉和健全的财务会计制度，具有履行合同所必需的设备和专业技术能力，有依法缴纳税收和社会保障资金的良好记录，参加本项目采购活动前三年内无重大违法活动记录，相关证明文件附后。我公司声明提供的前述用于本次参竞的证明文件真实有效。我方对以上声明负全部法律责任。</w:t>
      </w:r>
    </w:p>
    <w:p>
      <w:pPr>
        <w:pStyle w:val="161"/>
        <w:tabs>
          <w:tab w:val="left" w:pos="6300"/>
        </w:tabs>
        <w:snapToGrid w:val="0"/>
        <w:spacing w:line="276" w:lineRule="auto"/>
        <w:ind w:firstLine="480" w:firstLineChars="200"/>
        <w:rPr>
          <w:rFonts w:hint="default" w:ascii="宋体" w:hAnsi="宋体" w:cs="宋体"/>
          <w:sz w:val="24"/>
          <w:szCs w:val="24"/>
          <w:highlight w:val="none"/>
        </w:rPr>
      </w:pPr>
      <w:r>
        <w:rPr>
          <w:rFonts w:ascii="宋体" w:hAnsi="宋体" w:cs="宋体"/>
          <w:sz w:val="24"/>
          <w:szCs w:val="24"/>
          <w:highlight w:val="none"/>
        </w:rPr>
        <w:t>特此声明。</w:t>
      </w:r>
    </w:p>
    <w:p>
      <w:pPr>
        <w:pStyle w:val="161"/>
        <w:tabs>
          <w:tab w:val="left" w:pos="6300"/>
        </w:tabs>
        <w:snapToGrid w:val="0"/>
        <w:spacing w:line="276" w:lineRule="auto"/>
        <w:ind w:firstLine="570"/>
        <w:rPr>
          <w:rFonts w:hint="default" w:ascii="宋体" w:hAnsi="宋体" w:cs="宋体"/>
          <w:sz w:val="24"/>
          <w:szCs w:val="24"/>
          <w:highlight w:val="none"/>
        </w:rPr>
      </w:pPr>
    </w:p>
    <w:p>
      <w:pPr>
        <w:pStyle w:val="161"/>
        <w:tabs>
          <w:tab w:val="left" w:pos="6300"/>
        </w:tabs>
        <w:snapToGrid w:val="0"/>
        <w:spacing w:line="276" w:lineRule="auto"/>
        <w:ind w:firstLine="570"/>
        <w:rPr>
          <w:rFonts w:hint="default" w:ascii="宋体" w:hAnsi="宋体" w:cs="宋体"/>
          <w:sz w:val="24"/>
          <w:szCs w:val="24"/>
          <w:highlight w:val="none"/>
        </w:rPr>
      </w:pPr>
    </w:p>
    <w:p>
      <w:pPr>
        <w:pStyle w:val="161"/>
        <w:tabs>
          <w:tab w:val="left" w:pos="6300"/>
        </w:tabs>
        <w:snapToGrid w:val="0"/>
        <w:spacing w:line="276" w:lineRule="auto"/>
        <w:ind w:firstLine="570"/>
        <w:rPr>
          <w:rFonts w:hint="default" w:ascii="宋体" w:hAnsi="宋体" w:cs="宋体"/>
          <w:sz w:val="24"/>
          <w:szCs w:val="24"/>
          <w:highlight w:val="none"/>
        </w:rPr>
      </w:pPr>
    </w:p>
    <w:p>
      <w:pPr>
        <w:pStyle w:val="161"/>
        <w:tabs>
          <w:tab w:val="left" w:pos="6300"/>
        </w:tabs>
        <w:snapToGrid w:val="0"/>
        <w:spacing w:line="276" w:lineRule="auto"/>
        <w:ind w:right="424" w:firstLine="570"/>
        <w:jc w:val="right"/>
        <w:rPr>
          <w:rFonts w:hint="default" w:ascii="宋体" w:hAnsi="宋体" w:cs="宋体"/>
          <w:sz w:val="24"/>
          <w:szCs w:val="24"/>
          <w:highlight w:val="none"/>
        </w:rPr>
      </w:pPr>
      <w:r>
        <w:rPr>
          <w:rFonts w:ascii="宋体" w:hAnsi="宋体" w:cs="宋体"/>
          <w:sz w:val="24"/>
          <w:szCs w:val="24"/>
          <w:highlight w:val="none"/>
        </w:rPr>
        <w:t>（参竞人公章）</w:t>
      </w:r>
    </w:p>
    <w:p>
      <w:pPr>
        <w:pStyle w:val="161"/>
        <w:tabs>
          <w:tab w:val="left" w:pos="6300"/>
        </w:tabs>
        <w:snapToGrid w:val="0"/>
        <w:spacing w:line="276" w:lineRule="auto"/>
        <w:ind w:right="480" w:firstLine="570"/>
        <w:jc w:val="right"/>
        <w:rPr>
          <w:rFonts w:hint="default" w:ascii="宋体" w:hAnsi="宋体" w:cs="宋体"/>
          <w:sz w:val="24"/>
          <w:szCs w:val="24"/>
          <w:highlight w:val="none"/>
        </w:rPr>
      </w:pPr>
      <w:r>
        <w:rPr>
          <w:rFonts w:ascii="宋体" w:hAnsi="宋体" w:cs="宋体"/>
          <w:sz w:val="24"/>
          <w:szCs w:val="24"/>
          <w:highlight w:val="none"/>
        </w:rPr>
        <w:t>年   月   日</w:t>
      </w:r>
    </w:p>
    <w:p>
      <w:pPr>
        <w:pStyle w:val="161"/>
        <w:tabs>
          <w:tab w:val="left" w:pos="6300"/>
        </w:tabs>
        <w:snapToGrid w:val="0"/>
        <w:spacing w:line="276" w:lineRule="auto"/>
        <w:ind w:right="480" w:firstLine="570"/>
        <w:jc w:val="right"/>
        <w:rPr>
          <w:rFonts w:hint="default" w:ascii="宋体" w:hAnsi="宋体" w:cs="宋体"/>
          <w:sz w:val="24"/>
          <w:szCs w:val="24"/>
          <w:highlight w:val="none"/>
        </w:rPr>
      </w:pPr>
    </w:p>
    <w:p>
      <w:pPr>
        <w:pStyle w:val="161"/>
        <w:tabs>
          <w:tab w:val="left" w:pos="6300"/>
        </w:tabs>
        <w:snapToGrid w:val="0"/>
        <w:spacing w:line="276" w:lineRule="auto"/>
        <w:ind w:right="480" w:firstLine="570"/>
        <w:jc w:val="right"/>
        <w:rPr>
          <w:rFonts w:hint="default" w:ascii="宋体" w:hAnsi="宋体" w:cs="宋体"/>
          <w:sz w:val="24"/>
          <w:szCs w:val="24"/>
          <w:highlight w:val="none"/>
        </w:rPr>
        <w:sectPr>
          <w:pgSz w:w="11906" w:h="16838"/>
          <w:pgMar w:top="1440" w:right="1134" w:bottom="1440" w:left="1797" w:header="851" w:footer="992" w:gutter="0"/>
          <w:cols w:space="720" w:num="1"/>
          <w:docGrid w:type="lines" w:linePitch="312" w:charSpace="-5735"/>
        </w:sectPr>
      </w:pPr>
    </w:p>
    <w:p>
      <w:pPr>
        <w:pStyle w:val="3"/>
        <w:tabs>
          <w:tab w:val="clear" w:pos="3360"/>
        </w:tabs>
        <w:spacing w:before="312" w:after="156" w:line="276" w:lineRule="auto"/>
        <w:rPr>
          <w:rFonts w:cs="宋体"/>
          <w:b/>
          <w:sz w:val="24"/>
          <w:szCs w:val="24"/>
          <w:highlight w:val="none"/>
        </w:rPr>
      </w:pPr>
      <w:r>
        <w:rPr>
          <w:rFonts w:hint="eastAsia" w:cs="宋体"/>
          <w:b/>
          <w:sz w:val="24"/>
          <w:szCs w:val="24"/>
          <w:highlight w:val="none"/>
        </w:rPr>
        <w:t>七、商务条款承诺</w:t>
      </w:r>
    </w:p>
    <w:p>
      <w:pPr>
        <w:spacing w:line="276"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参竞人对参竞重要事项的响应</w:t>
      </w:r>
    </w:p>
    <w:tbl>
      <w:tblPr>
        <w:tblStyle w:val="33"/>
        <w:tblW w:w="0" w:type="auto"/>
        <w:tblInd w:w="108"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8"/>
        <w:gridCol w:w="6520"/>
        <w:gridCol w:w="1745"/>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18"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序号</w:t>
            </w:r>
          </w:p>
        </w:tc>
        <w:tc>
          <w:tcPr>
            <w:tcW w:w="6520"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事   项</w:t>
            </w:r>
          </w:p>
        </w:tc>
        <w:tc>
          <w:tcPr>
            <w:tcW w:w="1745"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响应与否</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18"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6520"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遵守国家法律、法规，无重大违法记录。</w:t>
            </w:r>
          </w:p>
        </w:tc>
        <w:tc>
          <w:tcPr>
            <w:tcW w:w="1745" w:type="dxa"/>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18"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2</w:t>
            </w:r>
          </w:p>
        </w:tc>
        <w:tc>
          <w:tcPr>
            <w:tcW w:w="6520"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参竞人经自查符合参竞资质。</w:t>
            </w:r>
          </w:p>
        </w:tc>
        <w:tc>
          <w:tcPr>
            <w:tcW w:w="1745" w:type="dxa"/>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18"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3</w:t>
            </w:r>
          </w:p>
        </w:tc>
        <w:tc>
          <w:tcPr>
            <w:tcW w:w="6520"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参竞人按要求缴纳参竞保证金。</w:t>
            </w:r>
          </w:p>
        </w:tc>
        <w:tc>
          <w:tcPr>
            <w:tcW w:w="1745" w:type="dxa"/>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18"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4</w:t>
            </w:r>
          </w:p>
        </w:tc>
        <w:tc>
          <w:tcPr>
            <w:tcW w:w="6520"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参竞人承诺拟成交后按要求缴纳履约保证金。</w:t>
            </w:r>
          </w:p>
        </w:tc>
        <w:tc>
          <w:tcPr>
            <w:tcW w:w="1745" w:type="dxa"/>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18"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5</w:t>
            </w:r>
          </w:p>
        </w:tc>
        <w:tc>
          <w:tcPr>
            <w:tcW w:w="6520"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参竞人已详细阅读食堂联合经营项目文件，并对其无异议。</w:t>
            </w:r>
          </w:p>
        </w:tc>
        <w:tc>
          <w:tcPr>
            <w:tcW w:w="1745" w:type="dxa"/>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18"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6</w:t>
            </w:r>
          </w:p>
        </w:tc>
        <w:tc>
          <w:tcPr>
            <w:tcW w:w="6520"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参竞人承诺拟成交后按国家规定为员工缴纳社会保险。</w:t>
            </w:r>
          </w:p>
        </w:tc>
        <w:tc>
          <w:tcPr>
            <w:tcW w:w="1745" w:type="dxa"/>
            <w:vAlign w:val="center"/>
          </w:tcPr>
          <w:p>
            <w:pPr>
              <w:spacing w:line="276" w:lineRule="auto"/>
              <w:jc w:val="center"/>
              <w:rPr>
                <w:rFonts w:ascii="宋体" w:hAnsi="宋体" w:eastAsia="宋体" w:cs="宋体"/>
                <w:sz w:val="24"/>
                <w:szCs w:val="24"/>
                <w:highlight w:val="none"/>
              </w:rPr>
            </w:pPr>
          </w:p>
        </w:tc>
      </w:tr>
    </w:tbl>
    <w:p>
      <w:pPr>
        <w:spacing w:line="276" w:lineRule="auto"/>
        <w:jc w:val="center"/>
        <w:rPr>
          <w:rFonts w:ascii="宋体" w:hAnsi="宋体" w:eastAsia="宋体" w:cs="宋体"/>
          <w:b/>
          <w:bCs/>
          <w:sz w:val="24"/>
          <w:szCs w:val="24"/>
          <w:highlight w:val="none"/>
        </w:rPr>
      </w:pPr>
    </w:p>
    <w:p>
      <w:pPr>
        <w:tabs>
          <w:tab w:val="left" w:pos="6300"/>
        </w:tabs>
        <w:snapToGrid w:val="0"/>
        <w:spacing w:line="276" w:lineRule="auto"/>
        <w:ind w:firstLine="5280" w:firstLineChars="2200"/>
        <w:rPr>
          <w:rFonts w:ascii="宋体" w:hAnsi="宋体" w:eastAsia="宋体" w:cs="宋体"/>
          <w:sz w:val="24"/>
          <w:szCs w:val="24"/>
          <w:highlight w:val="none"/>
        </w:rPr>
      </w:pPr>
      <w:r>
        <w:rPr>
          <w:rFonts w:hint="eastAsia" w:ascii="宋体" w:hAnsi="宋体" w:eastAsia="宋体" w:cs="宋体"/>
          <w:sz w:val="24"/>
          <w:szCs w:val="24"/>
          <w:highlight w:val="none"/>
        </w:rPr>
        <w:t>（参竞人公章）</w:t>
      </w:r>
    </w:p>
    <w:p>
      <w:pPr>
        <w:tabs>
          <w:tab w:val="left" w:pos="6300"/>
        </w:tabs>
        <w:snapToGrid w:val="0"/>
        <w:spacing w:line="276" w:lineRule="auto"/>
        <w:ind w:firstLine="120" w:firstLineChars="50"/>
        <w:jc w:val="right"/>
        <w:rPr>
          <w:rFonts w:ascii="宋体" w:hAnsi="宋体" w:eastAsia="宋体" w:cs="宋体"/>
          <w:sz w:val="24"/>
          <w:szCs w:val="24"/>
          <w:highlight w:val="none"/>
        </w:rPr>
        <w:sectPr>
          <w:pgSz w:w="11906" w:h="16838"/>
          <w:pgMar w:top="1440" w:right="1134" w:bottom="1440" w:left="1797" w:header="851" w:footer="992" w:gutter="0"/>
          <w:cols w:space="720" w:num="1"/>
          <w:docGrid w:type="lines" w:linePitch="312" w:charSpace="-5735"/>
        </w:sect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numPr>
          <w:ilvl w:val="0"/>
          <w:numId w:val="28"/>
        </w:numPr>
        <w:spacing w:line="276"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合理化建议</w:t>
      </w:r>
    </w:p>
    <w:p>
      <w:pPr>
        <w:spacing w:line="276" w:lineRule="auto"/>
        <w:rPr>
          <w:rFonts w:ascii="宋体" w:hAnsi="宋体" w:eastAsia="宋体" w:cs="宋体"/>
          <w:b/>
          <w:sz w:val="24"/>
          <w:szCs w:val="24"/>
          <w:highlight w:val="none"/>
        </w:rPr>
      </w:pPr>
    </w:p>
    <w:p>
      <w:pPr>
        <w:snapToGrid w:val="0"/>
        <w:spacing w:line="276" w:lineRule="auto"/>
        <w:ind w:firstLine="532" w:firstLineChars="222"/>
        <w:rPr>
          <w:rFonts w:ascii="宋体" w:hAnsi="宋体" w:eastAsia="宋体" w:cs="宋体"/>
          <w:sz w:val="24"/>
          <w:szCs w:val="24"/>
          <w:highlight w:val="none"/>
        </w:rPr>
      </w:pPr>
      <w:r>
        <w:rPr>
          <w:rFonts w:hint="eastAsia" w:ascii="宋体" w:hAnsi="宋体" w:eastAsia="宋体" w:cs="宋体"/>
          <w:sz w:val="24"/>
          <w:szCs w:val="24"/>
          <w:highlight w:val="none"/>
        </w:rPr>
        <w:t>参竞人对本食堂联合经营项目有独到的见解，能使学校有利用价值的信息，均可在此提出。以上内容无固定格式，请各参竞人自行设计格式填写。</w:t>
      </w:r>
    </w:p>
    <w:p>
      <w:pPr>
        <w:spacing w:line="276" w:lineRule="auto"/>
        <w:ind w:firstLine="480" w:firstLineChars="200"/>
        <w:rPr>
          <w:rFonts w:ascii="宋体" w:hAnsi="宋体" w:eastAsia="宋体" w:cs="宋体"/>
          <w:sz w:val="24"/>
          <w:szCs w:val="24"/>
          <w:highlight w:val="none"/>
        </w:rPr>
      </w:pPr>
    </w:p>
    <w:p>
      <w:pPr>
        <w:spacing w:line="276" w:lineRule="auto"/>
        <w:ind w:firstLine="480" w:firstLineChars="200"/>
        <w:rPr>
          <w:rFonts w:ascii="宋体" w:hAnsi="宋体" w:eastAsia="宋体" w:cs="宋体"/>
          <w:sz w:val="24"/>
          <w:szCs w:val="24"/>
          <w:highlight w:val="none"/>
        </w:rPr>
      </w:pPr>
    </w:p>
    <w:p>
      <w:pPr>
        <w:spacing w:line="276" w:lineRule="auto"/>
        <w:ind w:firstLine="480" w:firstLineChars="200"/>
        <w:rPr>
          <w:rFonts w:ascii="宋体" w:hAnsi="宋体" w:eastAsia="宋体" w:cs="宋体"/>
          <w:sz w:val="24"/>
          <w:szCs w:val="24"/>
          <w:highlight w:val="none"/>
        </w:rPr>
      </w:pPr>
    </w:p>
    <w:p>
      <w:pPr>
        <w:spacing w:line="276" w:lineRule="auto"/>
        <w:ind w:firstLine="480" w:firstLineChars="200"/>
        <w:rPr>
          <w:rFonts w:ascii="宋体" w:hAnsi="宋体" w:eastAsia="宋体" w:cs="宋体"/>
          <w:sz w:val="24"/>
          <w:szCs w:val="24"/>
          <w:highlight w:val="none"/>
        </w:rPr>
      </w:pPr>
    </w:p>
    <w:p>
      <w:pPr>
        <w:spacing w:line="276" w:lineRule="auto"/>
        <w:ind w:firstLine="480" w:firstLineChars="200"/>
        <w:rPr>
          <w:rFonts w:ascii="宋体" w:hAnsi="宋体" w:eastAsia="宋体" w:cs="宋体"/>
          <w:sz w:val="24"/>
          <w:szCs w:val="24"/>
          <w:highlight w:val="none"/>
        </w:rPr>
      </w:pPr>
    </w:p>
    <w:p>
      <w:pPr>
        <w:spacing w:line="276" w:lineRule="auto"/>
        <w:ind w:firstLine="480" w:firstLineChars="200"/>
        <w:rPr>
          <w:rFonts w:ascii="宋体" w:hAnsi="宋体" w:eastAsia="宋体" w:cs="宋体"/>
          <w:sz w:val="24"/>
          <w:szCs w:val="24"/>
          <w:highlight w:val="none"/>
        </w:rPr>
      </w:pPr>
    </w:p>
    <w:p>
      <w:pPr>
        <w:spacing w:line="276" w:lineRule="auto"/>
        <w:ind w:firstLine="480" w:firstLineChars="200"/>
        <w:rPr>
          <w:rFonts w:ascii="宋体" w:hAnsi="宋体" w:eastAsia="宋体" w:cs="宋体"/>
          <w:sz w:val="24"/>
          <w:szCs w:val="24"/>
          <w:highlight w:val="none"/>
        </w:rPr>
      </w:pPr>
    </w:p>
    <w:p>
      <w:pPr>
        <w:spacing w:line="276" w:lineRule="auto"/>
        <w:ind w:firstLine="480" w:firstLineChars="200"/>
        <w:rPr>
          <w:rFonts w:ascii="宋体" w:hAnsi="宋体" w:eastAsia="宋体" w:cs="宋体"/>
          <w:sz w:val="24"/>
          <w:szCs w:val="24"/>
          <w:highlight w:val="none"/>
        </w:rPr>
      </w:pPr>
    </w:p>
    <w:p>
      <w:pPr>
        <w:spacing w:line="276" w:lineRule="auto"/>
        <w:ind w:firstLine="480" w:firstLineChars="200"/>
        <w:rPr>
          <w:rFonts w:ascii="宋体" w:hAnsi="宋体" w:eastAsia="宋体" w:cs="宋体"/>
          <w:sz w:val="24"/>
          <w:szCs w:val="24"/>
          <w:highlight w:val="none"/>
        </w:rPr>
      </w:pPr>
    </w:p>
    <w:p>
      <w:pPr>
        <w:spacing w:line="276" w:lineRule="auto"/>
        <w:ind w:firstLine="480" w:firstLineChars="200"/>
        <w:rPr>
          <w:rFonts w:ascii="宋体" w:hAnsi="宋体" w:eastAsia="宋体" w:cs="宋体"/>
          <w:sz w:val="24"/>
          <w:szCs w:val="24"/>
          <w:highlight w:val="none"/>
        </w:rPr>
      </w:pPr>
    </w:p>
    <w:p>
      <w:pPr>
        <w:spacing w:line="276" w:lineRule="auto"/>
        <w:ind w:firstLine="480" w:firstLineChars="200"/>
        <w:rPr>
          <w:rFonts w:ascii="宋体" w:hAnsi="宋体" w:eastAsia="宋体" w:cs="宋体"/>
          <w:sz w:val="24"/>
          <w:szCs w:val="24"/>
          <w:highlight w:val="none"/>
        </w:rPr>
      </w:pPr>
    </w:p>
    <w:p>
      <w:pPr>
        <w:spacing w:line="276" w:lineRule="auto"/>
        <w:ind w:firstLine="480" w:firstLineChars="200"/>
        <w:rPr>
          <w:rFonts w:ascii="宋体" w:hAnsi="宋体" w:eastAsia="宋体" w:cs="宋体"/>
          <w:sz w:val="24"/>
          <w:szCs w:val="24"/>
          <w:highlight w:val="none"/>
        </w:rPr>
      </w:pPr>
    </w:p>
    <w:p>
      <w:pPr>
        <w:spacing w:line="276" w:lineRule="auto"/>
        <w:ind w:firstLine="480" w:firstLineChars="200"/>
        <w:rPr>
          <w:rFonts w:ascii="宋体" w:hAnsi="宋体" w:eastAsia="宋体" w:cs="宋体"/>
          <w:sz w:val="24"/>
          <w:szCs w:val="24"/>
          <w:highlight w:val="none"/>
        </w:rPr>
      </w:pPr>
    </w:p>
    <w:p>
      <w:pPr>
        <w:spacing w:line="276" w:lineRule="auto"/>
        <w:ind w:firstLine="480" w:firstLineChars="200"/>
        <w:rPr>
          <w:rFonts w:ascii="宋体" w:hAnsi="宋体" w:eastAsia="宋体" w:cs="宋体"/>
          <w:sz w:val="24"/>
          <w:szCs w:val="24"/>
          <w:highlight w:val="none"/>
        </w:rPr>
      </w:pPr>
    </w:p>
    <w:p>
      <w:pPr>
        <w:spacing w:line="276" w:lineRule="auto"/>
        <w:rPr>
          <w:rFonts w:ascii="宋体" w:hAnsi="宋体" w:eastAsia="宋体" w:cs="宋体"/>
          <w:sz w:val="24"/>
          <w:szCs w:val="24"/>
          <w:highlight w:val="none"/>
        </w:rPr>
        <w:sectPr>
          <w:pgSz w:w="11907" w:h="16840"/>
          <w:pgMar w:top="1440" w:right="1134" w:bottom="1440" w:left="1134" w:header="851" w:footer="992" w:gutter="0"/>
          <w:cols w:space="720" w:num="1"/>
          <w:docGrid w:type="lines" w:linePitch="380" w:charSpace="0"/>
        </w:sectPr>
      </w:pPr>
    </w:p>
    <w:p>
      <w:pPr>
        <w:pStyle w:val="3"/>
        <w:tabs>
          <w:tab w:val="clear" w:pos="3360"/>
        </w:tabs>
        <w:spacing w:before="380" w:after="190" w:line="276" w:lineRule="auto"/>
        <w:rPr>
          <w:rFonts w:cs="宋体"/>
          <w:b/>
          <w:sz w:val="24"/>
          <w:szCs w:val="24"/>
          <w:highlight w:val="none"/>
        </w:rPr>
      </w:pPr>
      <w:r>
        <w:rPr>
          <w:rFonts w:hint="eastAsia" w:cs="宋体"/>
          <w:b/>
          <w:sz w:val="24"/>
          <w:szCs w:val="24"/>
          <w:highlight w:val="none"/>
        </w:rPr>
        <w:t>九、报价部分</w:t>
      </w:r>
      <w:bookmarkStart w:id="108" w:name="_GoBack"/>
      <w:r>
        <w:rPr>
          <w:rFonts w:hint="eastAsia" w:cs="宋体"/>
          <w:b/>
          <w:sz w:val="24"/>
          <w:szCs w:val="24"/>
          <w:highlight w:val="none"/>
        </w:rPr>
        <w:t>报价表</w:t>
      </w:r>
      <w:bookmarkEnd w:id="108"/>
    </w:p>
    <w:tbl>
      <w:tblPr>
        <w:tblStyle w:val="33"/>
        <w:tblW w:w="15461" w:type="dxa"/>
        <w:tblInd w:w="-9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324"/>
        <w:gridCol w:w="4257"/>
        <w:gridCol w:w="4582"/>
        <w:gridCol w:w="4565"/>
        <w:tblGridChange w:id="0">
          <w:tblGrid>
            <w:gridCol w:w="1733"/>
            <w:gridCol w:w="324"/>
            <w:gridCol w:w="4257"/>
            <w:gridCol w:w="4582"/>
            <w:gridCol w:w="456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1733" w:type="dxa"/>
            <w:vAlign w:val="center"/>
          </w:tcPr>
          <w:p>
            <w:pPr>
              <w:spacing w:line="276" w:lineRule="auto"/>
              <w:jc w:val="center"/>
              <w:rPr>
                <w:rFonts w:ascii="宋体" w:hAnsi="宋体"/>
                <w:szCs w:val="21"/>
                <w:highlight w:val="none"/>
              </w:rPr>
            </w:pPr>
            <w:r>
              <w:rPr>
                <w:rFonts w:hint="eastAsia" w:ascii="宋体" w:hAnsi="宋体"/>
                <w:szCs w:val="21"/>
                <w:highlight w:val="none"/>
              </w:rPr>
              <w:t>参竞人名称</w:t>
            </w:r>
          </w:p>
        </w:tc>
        <w:tc>
          <w:tcPr>
            <w:tcW w:w="13728" w:type="dxa"/>
            <w:gridSpan w:val="4"/>
            <w:vAlign w:val="center"/>
          </w:tcPr>
          <w:p>
            <w:pPr>
              <w:spacing w:line="276"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2057" w:type="dxa"/>
            <w:gridSpan w:val="2"/>
            <w:vAlign w:val="center"/>
          </w:tcPr>
          <w:p>
            <w:pPr>
              <w:spacing w:line="276" w:lineRule="auto"/>
              <w:jc w:val="center"/>
              <w:rPr>
                <w:rFonts w:ascii="宋体" w:hAnsi="宋体"/>
                <w:szCs w:val="21"/>
                <w:highlight w:val="none"/>
              </w:rPr>
            </w:pPr>
            <w:r>
              <w:rPr>
                <w:rFonts w:hint="eastAsia" w:ascii="宋体" w:hAnsi="宋体"/>
                <w:szCs w:val="21"/>
                <w:highlight w:val="none"/>
              </w:rPr>
              <w:t>项目名称</w:t>
            </w:r>
          </w:p>
        </w:tc>
        <w:tc>
          <w:tcPr>
            <w:tcW w:w="4257" w:type="dxa"/>
            <w:shd w:val="clear" w:color="auto" w:fill="auto"/>
            <w:vAlign w:val="center"/>
          </w:tcPr>
          <w:p>
            <w:pPr>
              <w:spacing w:line="276" w:lineRule="auto"/>
              <w:jc w:val="center"/>
              <w:rPr>
                <w:rFonts w:ascii="宋体" w:hAnsi="宋体" w:cs="宋体"/>
                <w:kern w:val="0"/>
                <w:szCs w:val="21"/>
                <w:highlight w:val="none"/>
              </w:rPr>
            </w:pPr>
            <w:r>
              <w:rPr>
                <w:rFonts w:hint="eastAsia" w:ascii="宋体" w:hAnsi="宋体" w:cs="宋体"/>
                <w:kern w:val="0"/>
                <w:szCs w:val="21"/>
                <w:highlight w:val="none"/>
              </w:rPr>
              <w:t>基本大伙餐价格折扣率（%）</w:t>
            </w:r>
          </w:p>
        </w:tc>
        <w:tc>
          <w:tcPr>
            <w:tcW w:w="4582" w:type="dxa"/>
            <w:shd w:val="clear" w:color="auto" w:fill="auto"/>
            <w:vAlign w:val="center"/>
          </w:tcPr>
          <w:p>
            <w:pPr>
              <w:spacing w:line="276" w:lineRule="auto"/>
              <w:rPr>
                <w:rFonts w:ascii="宋体" w:hAnsi="宋体"/>
                <w:szCs w:val="21"/>
                <w:highlight w:val="none"/>
              </w:rPr>
            </w:pPr>
            <w:r>
              <w:rPr>
                <w:rFonts w:hint="eastAsia" w:ascii="宋体" w:hAnsi="宋体"/>
                <w:szCs w:val="21"/>
                <w:highlight w:val="none"/>
              </w:rPr>
              <w:t>环境改善投入金额（元）</w:t>
            </w:r>
          </w:p>
        </w:tc>
        <w:tc>
          <w:tcPr>
            <w:tcW w:w="4565" w:type="dxa"/>
            <w:shd w:val="clear" w:color="auto" w:fill="auto"/>
          </w:tcPr>
          <w:p>
            <w:pPr>
              <w:spacing w:line="276" w:lineRule="auto"/>
              <w:rPr>
                <w:rFonts w:ascii="宋体" w:hAnsi="宋体"/>
                <w:szCs w:val="21"/>
                <w:highlight w:val="none"/>
              </w:rPr>
            </w:pPr>
            <w:r>
              <w:rPr>
                <w:rFonts w:hint="eastAsia" w:ascii="宋体" w:hAnsi="宋体" w:cs="宋体"/>
                <w:kern w:val="0"/>
                <w:szCs w:val="21"/>
                <w:highlight w:val="none"/>
              </w:rPr>
              <w:t>基本大伙餐</w:t>
            </w:r>
            <w:r>
              <w:rPr>
                <w:rFonts w:hint="eastAsia" w:ascii="宋体" w:hAnsi="宋体"/>
                <w:szCs w:val="21"/>
                <w:highlight w:val="none"/>
              </w:rPr>
              <w:t>投料率（%）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2057" w:type="dxa"/>
            <w:gridSpan w:val="2"/>
            <w:vMerge w:val="restart"/>
            <w:vAlign w:val="center"/>
          </w:tcPr>
          <w:p>
            <w:pPr>
              <w:spacing w:line="276" w:lineRule="auto"/>
              <w:jc w:val="center"/>
              <w:rPr>
                <w:rFonts w:ascii="宋体" w:hAnsi="宋体"/>
                <w:szCs w:val="21"/>
                <w:highlight w:val="none"/>
              </w:rPr>
            </w:pPr>
            <w:r>
              <w:rPr>
                <w:rFonts w:hint="eastAsia" w:ascii="宋体" w:hAnsi="宋体"/>
                <w:szCs w:val="21"/>
                <w:highlight w:val="none"/>
              </w:rPr>
              <w:t>四川外国语大学东区学生食堂联合经营项目（包1）</w:t>
            </w:r>
          </w:p>
        </w:tc>
        <w:tc>
          <w:tcPr>
            <w:tcW w:w="4257" w:type="dxa"/>
            <w:shd w:val="clear" w:color="auto" w:fill="auto"/>
            <w:vAlign w:val="center"/>
          </w:tcPr>
          <w:p>
            <w:pPr>
              <w:spacing w:line="276" w:lineRule="auto"/>
              <w:rPr>
                <w:rFonts w:ascii="宋体" w:hAnsi="宋体"/>
                <w:szCs w:val="21"/>
                <w:highlight w:val="none"/>
              </w:rPr>
            </w:pPr>
            <w:r>
              <w:rPr>
                <w:rFonts w:hint="eastAsia" w:ascii="宋体" w:hAnsi="宋体"/>
                <w:szCs w:val="21"/>
                <w:highlight w:val="none"/>
              </w:rPr>
              <w:t>小写：</w:t>
            </w:r>
          </w:p>
        </w:tc>
        <w:tc>
          <w:tcPr>
            <w:tcW w:w="4582" w:type="dxa"/>
            <w:shd w:val="clear" w:color="auto" w:fill="auto"/>
            <w:vAlign w:val="center"/>
          </w:tcPr>
          <w:p>
            <w:pPr>
              <w:spacing w:line="276" w:lineRule="auto"/>
              <w:rPr>
                <w:rFonts w:ascii="宋体" w:hAnsi="宋体"/>
                <w:szCs w:val="21"/>
                <w:highlight w:val="none"/>
              </w:rPr>
            </w:pPr>
            <w:r>
              <w:rPr>
                <w:rFonts w:hint="eastAsia" w:ascii="宋体" w:hAnsi="宋体"/>
                <w:szCs w:val="21"/>
                <w:highlight w:val="none"/>
              </w:rPr>
              <w:t>小写：</w:t>
            </w:r>
          </w:p>
        </w:tc>
        <w:tc>
          <w:tcPr>
            <w:tcW w:w="4565" w:type="dxa"/>
            <w:shd w:val="clear" w:color="auto" w:fill="auto"/>
            <w:vAlign w:val="center"/>
          </w:tcPr>
          <w:p>
            <w:pPr>
              <w:spacing w:line="276" w:lineRule="auto"/>
              <w:rPr>
                <w:rFonts w:ascii="宋体" w:hAnsi="宋体"/>
                <w:szCs w:val="21"/>
                <w:highlight w:val="none"/>
              </w:rPr>
            </w:pPr>
            <w:r>
              <w:rPr>
                <w:rFonts w:hint="eastAsia" w:ascii="宋体" w:hAnsi="宋体"/>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2057" w:type="dxa"/>
            <w:gridSpan w:val="2"/>
            <w:vMerge w:val="continue"/>
            <w:vAlign w:val="center"/>
          </w:tcPr>
          <w:p>
            <w:pPr>
              <w:spacing w:line="276" w:lineRule="auto"/>
              <w:jc w:val="center"/>
              <w:rPr>
                <w:rFonts w:ascii="宋体" w:hAnsi="宋体"/>
                <w:szCs w:val="21"/>
                <w:highlight w:val="none"/>
              </w:rPr>
            </w:pPr>
          </w:p>
        </w:tc>
        <w:tc>
          <w:tcPr>
            <w:tcW w:w="4257" w:type="dxa"/>
            <w:shd w:val="clear" w:color="auto" w:fill="auto"/>
            <w:vAlign w:val="center"/>
          </w:tcPr>
          <w:p>
            <w:pPr>
              <w:spacing w:line="276" w:lineRule="auto"/>
              <w:rPr>
                <w:rFonts w:ascii="宋体" w:hAnsi="宋体"/>
                <w:szCs w:val="21"/>
                <w:highlight w:val="none"/>
              </w:rPr>
            </w:pPr>
            <w:r>
              <w:rPr>
                <w:rFonts w:hint="eastAsia" w:ascii="宋体" w:hAnsi="宋体"/>
                <w:szCs w:val="21"/>
                <w:highlight w:val="none"/>
              </w:rPr>
              <w:t>大写：</w:t>
            </w:r>
          </w:p>
        </w:tc>
        <w:tc>
          <w:tcPr>
            <w:tcW w:w="4582" w:type="dxa"/>
            <w:shd w:val="clear" w:color="auto" w:fill="auto"/>
            <w:vAlign w:val="center"/>
          </w:tcPr>
          <w:p>
            <w:pPr>
              <w:spacing w:line="276" w:lineRule="auto"/>
              <w:rPr>
                <w:rFonts w:ascii="宋体" w:hAnsi="宋体"/>
                <w:szCs w:val="21"/>
                <w:highlight w:val="none"/>
              </w:rPr>
            </w:pPr>
            <w:r>
              <w:rPr>
                <w:rFonts w:hint="eastAsia" w:ascii="宋体" w:hAnsi="宋体"/>
                <w:szCs w:val="21"/>
                <w:highlight w:val="none"/>
              </w:rPr>
              <w:t>大写：</w:t>
            </w:r>
          </w:p>
        </w:tc>
        <w:tc>
          <w:tcPr>
            <w:tcW w:w="4565" w:type="dxa"/>
            <w:shd w:val="clear" w:color="auto" w:fill="auto"/>
            <w:vAlign w:val="center"/>
          </w:tcPr>
          <w:p>
            <w:pPr>
              <w:spacing w:line="276" w:lineRule="auto"/>
              <w:rPr>
                <w:rFonts w:ascii="宋体" w:hAnsi="宋体"/>
                <w:szCs w:val="21"/>
                <w:highlight w:val="none"/>
              </w:rPr>
            </w:pPr>
            <w:r>
              <w:rPr>
                <w:rFonts w:hint="eastAsia" w:ascii="宋体" w:hAnsi="宋体"/>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15461" w:type="dxa"/>
            <w:gridSpan w:val="5"/>
            <w:tcBorders>
              <w:bottom w:val="single" w:color="auto" w:sz="4" w:space="0"/>
            </w:tcBorders>
            <w:vAlign w:val="center"/>
          </w:tcPr>
          <w:p>
            <w:pPr>
              <w:spacing w:line="276" w:lineRule="auto"/>
              <w:rPr>
                <w:rFonts w:ascii="宋体" w:hAnsi="宋体"/>
                <w:szCs w:val="21"/>
                <w:highlight w:val="none"/>
              </w:rPr>
            </w:pPr>
            <w:r>
              <w:rPr>
                <w:rFonts w:hint="eastAsia" w:ascii="宋体" w:hAnsi="宋体"/>
                <w:szCs w:val="21"/>
                <w:highlight w:val="none"/>
              </w:rPr>
              <w:t>备注：</w:t>
            </w:r>
          </w:p>
          <w:p>
            <w:pPr>
              <w:spacing w:line="276" w:lineRule="auto"/>
              <w:rPr>
                <w:rFonts w:ascii="宋体" w:hAnsi="宋体" w:cs="宋体"/>
                <w:kern w:val="0"/>
                <w:szCs w:val="21"/>
                <w:highlight w:val="none"/>
              </w:rPr>
            </w:pPr>
            <w:r>
              <w:rPr>
                <w:rFonts w:hint="eastAsia" w:ascii="宋体" w:hAnsi="宋体"/>
                <w:szCs w:val="21"/>
                <w:highlight w:val="none"/>
              </w:rPr>
              <w:t>1.</w:t>
            </w:r>
            <w:r>
              <w:rPr>
                <w:rFonts w:hint="eastAsia" w:ascii="宋体" w:hAnsi="宋体" w:cs="仿宋"/>
                <w:szCs w:val="21"/>
                <w:highlight w:val="none"/>
              </w:rPr>
              <w:t>基本大伙餐实际售卖价格=第二篇基本大伙餐参照价格标准*</w:t>
            </w:r>
            <w:r>
              <w:rPr>
                <w:rFonts w:hint="eastAsia" w:ascii="宋体" w:hAnsi="宋体" w:cs="宋体"/>
                <w:kern w:val="0"/>
                <w:szCs w:val="21"/>
                <w:highlight w:val="none"/>
              </w:rPr>
              <w:t>基本大伙餐价格折扣率（%）。</w:t>
            </w:r>
          </w:p>
          <w:p>
            <w:pPr>
              <w:spacing w:line="276" w:lineRule="auto"/>
              <w:rPr>
                <w:rFonts w:ascii="宋体" w:hAnsi="宋体" w:cs="宋体"/>
                <w:kern w:val="0"/>
                <w:szCs w:val="21"/>
                <w:highlight w:val="none"/>
              </w:rPr>
            </w:pPr>
            <w:r>
              <w:rPr>
                <w:rFonts w:hint="eastAsia" w:ascii="宋体" w:hAnsi="宋体" w:cs="宋体"/>
                <w:kern w:val="0"/>
                <w:szCs w:val="21"/>
                <w:highlight w:val="none"/>
              </w:rPr>
              <w:t>2</w:t>
            </w:r>
            <w:r>
              <w:rPr>
                <w:rFonts w:ascii="宋体" w:hAnsi="宋体" w:cs="宋体"/>
                <w:kern w:val="0"/>
                <w:szCs w:val="21"/>
                <w:highlight w:val="none"/>
              </w:rPr>
              <w:t>.</w:t>
            </w:r>
            <w:r>
              <w:rPr>
                <w:rFonts w:hint="eastAsia" w:ascii="宋体" w:hAnsi="宋体" w:cs="宋体"/>
                <w:kern w:val="0"/>
                <w:szCs w:val="21"/>
                <w:highlight w:val="none"/>
              </w:rPr>
              <w:t>包1环境改善投入金额不得低于</w:t>
            </w:r>
            <w:r>
              <w:rPr>
                <w:rFonts w:ascii="宋体" w:hAnsi="宋体" w:cs="宋体"/>
                <w:kern w:val="0"/>
                <w:szCs w:val="21"/>
                <w:highlight w:val="none"/>
              </w:rPr>
              <w:t>280</w:t>
            </w:r>
            <w:r>
              <w:rPr>
                <w:rFonts w:hint="eastAsia" w:ascii="宋体" w:hAnsi="宋体" w:cs="宋体"/>
                <w:kern w:val="0"/>
                <w:szCs w:val="21"/>
                <w:highlight w:val="none"/>
              </w:rPr>
              <w:t>万元。</w:t>
            </w:r>
          </w:p>
          <w:p>
            <w:pPr>
              <w:spacing w:line="276" w:lineRule="auto"/>
              <w:rPr>
                <w:rFonts w:ascii="宋体" w:hAnsi="宋体"/>
                <w:szCs w:val="21"/>
                <w:highlight w:val="none"/>
              </w:rPr>
            </w:pPr>
            <w:r>
              <w:rPr>
                <w:rFonts w:hint="eastAsia" w:ascii="宋体" w:hAnsi="宋体" w:cs="宋体"/>
                <w:kern w:val="0"/>
                <w:szCs w:val="21"/>
                <w:highlight w:val="none"/>
              </w:rPr>
              <w:t>3</w:t>
            </w:r>
            <w:r>
              <w:rPr>
                <w:rFonts w:ascii="宋体" w:hAnsi="宋体" w:cs="宋体"/>
                <w:kern w:val="0"/>
                <w:szCs w:val="21"/>
                <w:highlight w:val="none"/>
              </w:rPr>
              <w:t>.</w:t>
            </w:r>
            <w:r>
              <w:rPr>
                <w:rFonts w:hint="eastAsia" w:ascii="宋体" w:hAnsi="宋体" w:cs="宋体"/>
                <w:kern w:val="0"/>
                <w:szCs w:val="21"/>
                <w:highlight w:val="none"/>
              </w:rPr>
              <w:t>基本大伙餐投料率区间为5</w:t>
            </w:r>
            <w:r>
              <w:rPr>
                <w:rFonts w:ascii="宋体" w:hAnsi="宋体" w:cs="宋体"/>
                <w:kern w:val="0"/>
                <w:szCs w:val="21"/>
                <w:highlight w:val="none"/>
              </w:rPr>
              <w:t>0%-65%</w:t>
            </w:r>
            <w:r>
              <w:rPr>
                <w:rFonts w:hint="eastAsia" w:ascii="宋体" w:hAnsi="宋体" w:cs="宋体"/>
                <w:kern w:val="0"/>
                <w:szCs w:val="21"/>
                <w:highlight w:val="none"/>
              </w:rPr>
              <w:t>，投料率=（主辅料和调料总成本/总营业收入）×100%。</w:t>
            </w:r>
          </w:p>
        </w:tc>
      </w:tr>
    </w:tbl>
    <w:p>
      <w:pPr>
        <w:pStyle w:val="234"/>
        <w:snapToGrid w:val="0"/>
        <w:spacing w:line="276" w:lineRule="auto"/>
        <w:ind w:right="250" w:firstLine="0" w:firstLineChars="0"/>
        <w:rPr>
          <w:szCs w:val="24"/>
          <w:highlight w:val="none"/>
        </w:rPr>
      </w:pPr>
      <w:r>
        <w:rPr>
          <w:rFonts w:hint="eastAsia"/>
          <w:szCs w:val="24"/>
          <w:highlight w:val="none"/>
        </w:rPr>
        <w:t>填写说明：1.该表是确定成交人的重要依据，请慎重填写；</w:t>
      </w:r>
    </w:p>
    <w:p>
      <w:pPr>
        <w:pStyle w:val="234"/>
        <w:snapToGrid w:val="0"/>
        <w:spacing w:line="276" w:lineRule="auto"/>
        <w:ind w:right="250" w:firstLine="1200" w:firstLineChars="500"/>
        <w:rPr>
          <w:szCs w:val="24"/>
          <w:highlight w:val="none"/>
        </w:rPr>
      </w:pPr>
      <w:r>
        <w:rPr>
          <w:rFonts w:hint="eastAsia"/>
          <w:szCs w:val="24"/>
          <w:highlight w:val="none"/>
        </w:rPr>
        <w:t>2.</w:t>
      </w:r>
      <w:r>
        <w:rPr>
          <w:rFonts w:hint="eastAsia"/>
          <w:b/>
          <w:bCs/>
          <w:szCs w:val="24"/>
          <w:highlight w:val="none"/>
        </w:rPr>
        <w:t>报价时请注意报价单位；</w:t>
      </w:r>
    </w:p>
    <w:p>
      <w:pPr>
        <w:pStyle w:val="234"/>
        <w:snapToGrid w:val="0"/>
        <w:spacing w:line="276" w:lineRule="auto"/>
        <w:ind w:right="250" w:firstLine="1200" w:firstLineChars="500"/>
        <w:rPr>
          <w:szCs w:val="24"/>
          <w:highlight w:val="none"/>
        </w:rPr>
      </w:pPr>
      <w:r>
        <w:rPr>
          <w:rFonts w:hint="eastAsia"/>
          <w:szCs w:val="24"/>
          <w:highlight w:val="none"/>
        </w:rPr>
        <w:t xml:space="preserve">3.请将其它需要特别说明的事宜填写在备注栏中。 </w:t>
      </w:r>
    </w:p>
    <w:p>
      <w:pPr>
        <w:pStyle w:val="234"/>
        <w:snapToGrid w:val="0"/>
        <w:spacing w:line="276" w:lineRule="auto"/>
        <w:ind w:right="250" w:firstLine="0" w:firstLineChars="0"/>
        <w:rPr>
          <w:szCs w:val="24"/>
          <w:highlight w:val="none"/>
        </w:rPr>
      </w:pPr>
      <w:r>
        <w:rPr>
          <w:rFonts w:hint="eastAsia"/>
          <w:szCs w:val="24"/>
          <w:highlight w:val="none"/>
        </w:rPr>
        <w:t xml:space="preserve">                                                </w:t>
      </w:r>
      <w:r>
        <w:rPr>
          <w:szCs w:val="24"/>
          <w:highlight w:val="none"/>
        </w:rPr>
        <w:t xml:space="preserve">                          </w:t>
      </w:r>
      <w:r>
        <w:rPr>
          <w:rFonts w:hint="eastAsia"/>
          <w:szCs w:val="24"/>
          <w:highlight w:val="none"/>
        </w:rPr>
        <w:t>参竞人：           （盖章）</w:t>
      </w:r>
    </w:p>
    <w:p>
      <w:pPr>
        <w:spacing w:line="276" w:lineRule="auto"/>
        <w:ind w:firstLine="420" w:firstLineChars="200"/>
        <w:rPr>
          <w:rFonts w:ascii="宋体" w:hAnsi="宋体" w:eastAsia="宋体" w:cs="宋体"/>
          <w:kern w:val="0"/>
          <w:sz w:val="24"/>
          <w:szCs w:val="24"/>
          <w:highlight w:val="none"/>
        </w:rPr>
      </w:pPr>
      <w:r>
        <w:rPr>
          <w:rFonts w:hint="eastAsia"/>
          <w:szCs w:val="24"/>
          <w:highlight w:val="none"/>
        </w:rPr>
        <w:t xml:space="preserve">                                            </w:t>
      </w:r>
      <w:r>
        <w:rPr>
          <w:szCs w:val="24"/>
          <w:highlight w:val="none"/>
        </w:rPr>
        <w:t xml:space="preserve">                      </w:t>
      </w:r>
      <w:r>
        <w:rPr>
          <w:rFonts w:hint="eastAsia"/>
          <w:szCs w:val="24"/>
          <w:highlight w:val="none"/>
        </w:rPr>
        <w:t xml:space="preserve">法人/法人授权代表：          </w:t>
      </w:r>
      <w:r>
        <w:rPr>
          <w:rFonts w:hint="eastAsia" w:ascii="宋体" w:hAnsi="宋体" w:eastAsia="宋体" w:cs="宋体"/>
          <w:kern w:val="0"/>
          <w:sz w:val="24"/>
          <w:szCs w:val="24"/>
          <w:highlight w:val="none"/>
        </w:rPr>
        <w:t xml:space="preserve"> </w:t>
      </w:r>
    </w:p>
    <w:p>
      <w:pPr>
        <w:spacing w:line="276" w:lineRule="auto"/>
        <w:ind w:firstLine="480" w:firstLineChars="200"/>
        <w:rPr>
          <w:rFonts w:ascii="宋体" w:hAnsi="宋体" w:eastAsia="宋体" w:cs="宋体"/>
          <w:kern w:val="0"/>
          <w:sz w:val="24"/>
          <w:szCs w:val="24"/>
          <w:highlight w:val="none"/>
        </w:rPr>
        <w:sectPr>
          <w:pgSz w:w="16840" w:h="11907" w:orient="landscape"/>
          <w:pgMar w:top="1134" w:right="1440" w:bottom="1134" w:left="1440" w:header="851" w:footer="992" w:gutter="0"/>
          <w:cols w:space="720" w:num="1"/>
          <w:docGrid w:type="lines" w:linePitch="380" w:charSpace="0"/>
        </w:sectPr>
      </w:pPr>
      <w:r>
        <w:rPr>
          <w:rFonts w:hint="eastAsia" w:ascii="宋体" w:hAnsi="宋体" w:eastAsia="宋体" w:cs="宋体"/>
          <w:kern w:val="0"/>
          <w:sz w:val="24"/>
          <w:szCs w:val="24"/>
          <w:highlight w:val="none"/>
        </w:rPr>
        <w:t xml:space="preserve">                                                    </w:t>
      </w:r>
      <w:r>
        <w:rPr>
          <w:rFonts w:ascii="宋体" w:hAnsi="宋体" w:eastAsia="宋体" w:cs="宋体"/>
          <w:kern w:val="0"/>
          <w:sz w:val="24"/>
          <w:szCs w:val="24"/>
          <w:highlight w:val="none"/>
        </w:rPr>
        <w:t xml:space="preserve">                              </w:t>
      </w:r>
      <w:r>
        <w:rPr>
          <w:rFonts w:hint="eastAsia" w:ascii="宋体" w:hAnsi="宋体" w:eastAsia="宋体" w:cs="宋体"/>
          <w:kern w:val="0"/>
          <w:sz w:val="24"/>
          <w:szCs w:val="24"/>
          <w:highlight w:val="none"/>
        </w:rPr>
        <w:t xml:space="preserve"> 年     月   </w:t>
      </w:r>
    </w:p>
    <w:p>
      <w:pPr>
        <w:pStyle w:val="3"/>
        <w:tabs>
          <w:tab w:val="clear" w:pos="3360"/>
        </w:tabs>
        <w:spacing w:before="380" w:after="190" w:line="276" w:lineRule="auto"/>
        <w:rPr>
          <w:rFonts w:cs="宋体"/>
          <w:b/>
          <w:sz w:val="24"/>
          <w:szCs w:val="24"/>
          <w:highlight w:val="none"/>
        </w:rPr>
      </w:pPr>
      <w:r>
        <w:rPr>
          <w:rFonts w:hint="eastAsia" w:cs="宋体"/>
          <w:b/>
          <w:sz w:val="24"/>
          <w:szCs w:val="24"/>
          <w:highlight w:val="none"/>
        </w:rPr>
        <w:t>十、服务部分响应文件</w:t>
      </w:r>
    </w:p>
    <w:p>
      <w:pPr>
        <w:pStyle w:val="3"/>
        <w:tabs>
          <w:tab w:val="clear" w:pos="3360"/>
        </w:tabs>
        <w:spacing w:before="380" w:after="190" w:line="276" w:lineRule="auto"/>
        <w:rPr>
          <w:rFonts w:cs="宋体"/>
          <w:bCs/>
          <w:sz w:val="24"/>
          <w:szCs w:val="24"/>
          <w:highlight w:val="none"/>
        </w:rPr>
      </w:pPr>
      <w:r>
        <w:rPr>
          <w:rFonts w:hint="eastAsia" w:cs="宋体"/>
          <w:bCs/>
          <w:sz w:val="24"/>
          <w:szCs w:val="24"/>
          <w:highlight w:val="none"/>
        </w:rPr>
        <w:t>（一）项目管理机构组成表</w:t>
      </w:r>
    </w:p>
    <w:p>
      <w:pPr>
        <w:spacing w:line="276" w:lineRule="auto"/>
        <w:jc w:val="center"/>
        <w:rPr>
          <w:rFonts w:ascii="宋体" w:hAnsi="宋体" w:eastAsia="宋体" w:cs="宋体"/>
          <w:b/>
          <w:sz w:val="24"/>
          <w:szCs w:val="24"/>
          <w:highlight w:val="none"/>
        </w:rPr>
      </w:pPr>
      <w:r>
        <w:rPr>
          <w:rFonts w:hint="eastAsia" w:ascii="宋体" w:hAnsi="宋体" w:eastAsia="宋体" w:cs="宋体"/>
          <w:b/>
          <w:bCs/>
          <w:sz w:val="24"/>
          <w:szCs w:val="24"/>
          <w:highlight w:val="none"/>
        </w:rPr>
        <w:t>项目管理机构组成表</w:t>
      </w:r>
    </w:p>
    <w:tbl>
      <w:tblPr>
        <w:tblStyle w:val="33"/>
        <w:tblW w:w="0" w:type="auto"/>
        <w:jc w:val="center"/>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1238"/>
        <w:gridCol w:w="992"/>
        <w:gridCol w:w="992"/>
        <w:gridCol w:w="1418"/>
        <w:gridCol w:w="798"/>
        <w:gridCol w:w="947"/>
        <w:gridCol w:w="947"/>
        <w:gridCol w:w="24"/>
        <w:gridCol w:w="1451"/>
      </w:tblGrid>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vMerge w:val="restart"/>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职务</w:t>
            </w:r>
          </w:p>
        </w:tc>
        <w:tc>
          <w:tcPr>
            <w:tcW w:w="992" w:type="dxa"/>
            <w:vMerge w:val="restart"/>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姓名</w:t>
            </w:r>
          </w:p>
        </w:tc>
        <w:tc>
          <w:tcPr>
            <w:tcW w:w="992" w:type="dxa"/>
            <w:vMerge w:val="restart"/>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职称</w:t>
            </w:r>
          </w:p>
        </w:tc>
        <w:tc>
          <w:tcPr>
            <w:tcW w:w="4134" w:type="dxa"/>
            <w:gridSpan w:val="5"/>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执业或职业资格证明</w:t>
            </w:r>
          </w:p>
        </w:tc>
        <w:tc>
          <w:tcPr>
            <w:tcW w:w="1451" w:type="dxa"/>
            <w:vAlign w:val="center"/>
          </w:tcPr>
          <w:p>
            <w:pPr>
              <w:spacing w:line="276" w:lineRule="auto"/>
              <w:ind w:left="12" w:leftChars="-40" w:hanging="96" w:hangingChars="40"/>
              <w:jc w:val="center"/>
              <w:rPr>
                <w:rFonts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vMerge w:val="continue"/>
            <w:vAlign w:val="center"/>
          </w:tcPr>
          <w:p>
            <w:pPr>
              <w:spacing w:line="276" w:lineRule="auto"/>
              <w:jc w:val="center"/>
              <w:rPr>
                <w:rFonts w:ascii="宋体" w:hAnsi="宋体" w:eastAsia="宋体" w:cs="宋体"/>
                <w:sz w:val="24"/>
                <w:szCs w:val="24"/>
                <w:highlight w:val="none"/>
              </w:rPr>
            </w:pPr>
          </w:p>
        </w:tc>
        <w:tc>
          <w:tcPr>
            <w:tcW w:w="992" w:type="dxa"/>
            <w:vMerge w:val="continue"/>
            <w:vAlign w:val="center"/>
          </w:tcPr>
          <w:p>
            <w:pPr>
              <w:spacing w:line="276" w:lineRule="auto"/>
              <w:jc w:val="center"/>
              <w:rPr>
                <w:rFonts w:ascii="宋体" w:hAnsi="宋体" w:eastAsia="宋体" w:cs="宋体"/>
                <w:sz w:val="24"/>
                <w:szCs w:val="24"/>
                <w:highlight w:val="none"/>
              </w:rPr>
            </w:pPr>
          </w:p>
        </w:tc>
        <w:tc>
          <w:tcPr>
            <w:tcW w:w="992" w:type="dxa"/>
            <w:vMerge w:val="continue"/>
            <w:vAlign w:val="center"/>
          </w:tcPr>
          <w:p>
            <w:pPr>
              <w:spacing w:line="276" w:lineRule="auto"/>
              <w:jc w:val="center"/>
              <w:rPr>
                <w:rFonts w:ascii="宋体" w:hAnsi="宋体" w:eastAsia="宋体" w:cs="宋体"/>
                <w:sz w:val="24"/>
                <w:szCs w:val="24"/>
                <w:highlight w:val="none"/>
              </w:rPr>
            </w:pPr>
          </w:p>
        </w:tc>
        <w:tc>
          <w:tcPr>
            <w:tcW w:w="1418"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证书名称</w:t>
            </w:r>
          </w:p>
        </w:tc>
        <w:tc>
          <w:tcPr>
            <w:tcW w:w="798"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级别</w:t>
            </w:r>
          </w:p>
        </w:tc>
        <w:tc>
          <w:tcPr>
            <w:tcW w:w="947"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证号</w:t>
            </w:r>
          </w:p>
        </w:tc>
        <w:tc>
          <w:tcPr>
            <w:tcW w:w="947"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专业</w:t>
            </w:r>
          </w:p>
        </w:tc>
        <w:tc>
          <w:tcPr>
            <w:tcW w:w="1475" w:type="dxa"/>
            <w:gridSpan w:val="2"/>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vAlign w:val="center"/>
          </w:tcPr>
          <w:p>
            <w:pPr>
              <w:spacing w:line="276" w:lineRule="auto"/>
              <w:jc w:val="center"/>
              <w:rPr>
                <w:rFonts w:ascii="宋体" w:hAnsi="宋体" w:eastAsia="宋体" w:cs="宋体"/>
                <w:sz w:val="24"/>
                <w:szCs w:val="24"/>
                <w:highlight w:val="none"/>
              </w:rPr>
            </w:pPr>
          </w:p>
        </w:tc>
        <w:tc>
          <w:tcPr>
            <w:tcW w:w="992" w:type="dxa"/>
            <w:vAlign w:val="center"/>
          </w:tcPr>
          <w:p>
            <w:pPr>
              <w:spacing w:line="276" w:lineRule="auto"/>
              <w:jc w:val="center"/>
              <w:rPr>
                <w:rFonts w:ascii="宋体" w:hAnsi="宋体" w:eastAsia="宋体" w:cs="宋体"/>
                <w:sz w:val="24"/>
                <w:szCs w:val="24"/>
                <w:highlight w:val="none"/>
              </w:rPr>
            </w:pPr>
          </w:p>
        </w:tc>
        <w:tc>
          <w:tcPr>
            <w:tcW w:w="992" w:type="dxa"/>
            <w:vAlign w:val="center"/>
          </w:tcPr>
          <w:p>
            <w:pPr>
              <w:spacing w:line="276" w:lineRule="auto"/>
              <w:jc w:val="center"/>
              <w:rPr>
                <w:rFonts w:ascii="宋体" w:hAnsi="宋体" w:eastAsia="宋体" w:cs="宋体"/>
                <w:sz w:val="24"/>
                <w:szCs w:val="24"/>
                <w:highlight w:val="none"/>
              </w:rPr>
            </w:pPr>
          </w:p>
        </w:tc>
        <w:tc>
          <w:tcPr>
            <w:tcW w:w="1418" w:type="dxa"/>
            <w:vAlign w:val="center"/>
          </w:tcPr>
          <w:p>
            <w:pPr>
              <w:spacing w:line="276" w:lineRule="auto"/>
              <w:jc w:val="center"/>
              <w:rPr>
                <w:rFonts w:ascii="宋体" w:hAnsi="宋体" w:eastAsia="宋体" w:cs="宋体"/>
                <w:sz w:val="24"/>
                <w:szCs w:val="24"/>
                <w:highlight w:val="none"/>
              </w:rPr>
            </w:pPr>
          </w:p>
        </w:tc>
        <w:tc>
          <w:tcPr>
            <w:tcW w:w="798" w:type="dxa"/>
            <w:vAlign w:val="center"/>
          </w:tcPr>
          <w:p>
            <w:pPr>
              <w:spacing w:line="276" w:lineRule="auto"/>
              <w:jc w:val="center"/>
              <w:rPr>
                <w:rFonts w:ascii="宋体" w:hAnsi="宋体" w:eastAsia="宋体" w:cs="宋体"/>
                <w:sz w:val="24"/>
                <w:szCs w:val="24"/>
                <w:highlight w:val="none"/>
              </w:rPr>
            </w:pPr>
          </w:p>
        </w:tc>
        <w:tc>
          <w:tcPr>
            <w:tcW w:w="947" w:type="dxa"/>
            <w:vAlign w:val="center"/>
          </w:tcPr>
          <w:p>
            <w:pPr>
              <w:spacing w:line="276" w:lineRule="auto"/>
              <w:jc w:val="center"/>
              <w:rPr>
                <w:rFonts w:ascii="宋体" w:hAnsi="宋体" w:eastAsia="宋体" w:cs="宋体"/>
                <w:sz w:val="24"/>
                <w:szCs w:val="24"/>
                <w:highlight w:val="none"/>
              </w:rPr>
            </w:pPr>
          </w:p>
        </w:tc>
        <w:tc>
          <w:tcPr>
            <w:tcW w:w="947" w:type="dxa"/>
            <w:vAlign w:val="center"/>
          </w:tcPr>
          <w:p>
            <w:pPr>
              <w:spacing w:line="276" w:lineRule="auto"/>
              <w:jc w:val="center"/>
              <w:rPr>
                <w:rFonts w:ascii="宋体" w:hAnsi="宋体" w:eastAsia="宋体" w:cs="宋体"/>
                <w:sz w:val="24"/>
                <w:szCs w:val="24"/>
                <w:highlight w:val="none"/>
              </w:rPr>
            </w:pPr>
          </w:p>
        </w:tc>
        <w:tc>
          <w:tcPr>
            <w:tcW w:w="1475" w:type="dxa"/>
            <w:gridSpan w:val="2"/>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1418" w:type="dxa"/>
          </w:tcPr>
          <w:p>
            <w:pPr>
              <w:spacing w:line="276" w:lineRule="auto"/>
              <w:jc w:val="center"/>
              <w:rPr>
                <w:rFonts w:ascii="宋体" w:hAnsi="宋体" w:eastAsia="宋体" w:cs="宋体"/>
                <w:sz w:val="24"/>
                <w:szCs w:val="24"/>
                <w:highlight w:val="none"/>
              </w:rPr>
            </w:pPr>
          </w:p>
        </w:tc>
        <w:tc>
          <w:tcPr>
            <w:tcW w:w="798"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1475" w:type="dxa"/>
            <w:gridSpan w:val="2"/>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1418" w:type="dxa"/>
          </w:tcPr>
          <w:p>
            <w:pPr>
              <w:spacing w:line="276" w:lineRule="auto"/>
              <w:jc w:val="center"/>
              <w:rPr>
                <w:rFonts w:ascii="宋体" w:hAnsi="宋体" w:eastAsia="宋体" w:cs="宋体"/>
                <w:sz w:val="24"/>
                <w:szCs w:val="24"/>
                <w:highlight w:val="none"/>
              </w:rPr>
            </w:pPr>
          </w:p>
        </w:tc>
        <w:tc>
          <w:tcPr>
            <w:tcW w:w="798"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1475" w:type="dxa"/>
            <w:gridSpan w:val="2"/>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1418" w:type="dxa"/>
          </w:tcPr>
          <w:p>
            <w:pPr>
              <w:spacing w:line="276" w:lineRule="auto"/>
              <w:jc w:val="center"/>
              <w:rPr>
                <w:rFonts w:ascii="宋体" w:hAnsi="宋体" w:eastAsia="宋体" w:cs="宋体"/>
                <w:sz w:val="24"/>
                <w:szCs w:val="24"/>
                <w:highlight w:val="none"/>
              </w:rPr>
            </w:pPr>
          </w:p>
        </w:tc>
        <w:tc>
          <w:tcPr>
            <w:tcW w:w="798"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1475" w:type="dxa"/>
            <w:gridSpan w:val="2"/>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1418" w:type="dxa"/>
          </w:tcPr>
          <w:p>
            <w:pPr>
              <w:spacing w:line="276" w:lineRule="auto"/>
              <w:jc w:val="center"/>
              <w:rPr>
                <w:rFonts w:ascii="宋体" w:hAnsi="宋体" w:eastAsia="宋体" w:cs="宋体"/>
                <w:sz w:val="24"/>
                <w:szCs w:val="24"/>
                <w:highlight w:val="none"/>
              </w:rPr>
            </w:pPr>
          </w:p>
        </w:tc>
        <w:tc>
          <w:tcPr>
            <w:tcW w:w="798"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1475" w:type="dxa"/>
            <w:gridSpan w:val="2"/>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PrEx>
        <w:trPr>
          <w:trHeight w:val="567" w:hRule="exact"/>
          <w:jc w:val="center"/>
        </w:trPr>
        <w:tc>
          <w:tcPr>
            <w:tcW w:w="1238"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1418" w:type="dxa"/>
          </w:tcPr>
          <w:p>
            <w:pPr>
              <w:spacing w:line="276" w:lineRule="auto"/>
              <w:jc w:val="center"/>
              <w:rPr>
                <w:rFonts w:ascii="宋体" w:hAnsi="宋体" w:eastAsia="宋体" w:cs="宋体"/>
                <w:sz w:val="24"/>
                <w:szCs w:val="24"/>
                <w:highlight w:val="none"/>
              </w:rPr>
            </w:pPr>
          </w:p>
        </w:tc>
        <w:tc>
          <w:tcPr>
            <w:tcW w:w="798"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1475" w:type="dxa"/>
            <w:gridSpan w:val="2"/>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1418" w:type="dxa"/>
          </w:tcPr>
          <w:p>
            <w:pPr>
              <w:spacing w:line="276" w:lineRule="auto"/>
              <w:jc w:val="center"/>
              <w:rPr>
                <w:rFonts w:ascii="宋体" w:hAnsi="宋体" w:eastAsia="宋体" w:cs="宋体"/>
                <w:sz w:val="24"/>
                <w:szCs w:val="24"/>
                <w:highlight w:val="none"/>
              </w:rPr>
            </w:pPr>
          </w:p>
        </w:tc>
        <w:tc>
          <w:tcPr>
            <w:tcW w:w="798"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1475" w:type="dxa"/>
            <w:gridSpan w:val="2"/>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1418" w:type="dxa"/>
          </w:tcPr>
          <w:p>
            <w:pPr>
              <w:spacing w:line="276" w:lineRule="auto"/>
              <w:jc w:val="center"/>
              <w:rPr>
                <w:rFonts w:ascii="宋体" w:hAnsi="宋体" w:eastAsia="宋体" w:cs="宋体"/>
                <w:sz w:val="24"/>
                <w:szCs w:val="24"/>
                <w:highlight w:val="none"/>
              </w:rPr>
            </w:pPr>
          </w:p>
        </w:tc>
        <w:tc>
          <w:tcPr>
            <w:tcW w:w="798"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1475" w:type="dxa"/>
            <w:gridSpan w:val="2"/>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1418" w:type="dxa"/>
          </w:tcPr>
          <w:p>
            <w:pPr>
              <w:spacing w:line="276" w:lineRule="auto"/>
              <w:jc w:val="center"/>
              <w:rPr>
                <w:rFonts w:ascii="宋体" w:hAnsi="宋体" w:eastAsia="宋体" w:cs="宋体"/>
                <w:sz w:val="24"/>
                <w:szCs w:val="24"/>
                <w:highlight w:val="none"/>
              </w:rPr>
            </w:pPr>
          </w:p>
        </w:tc>
        <w:tc>
          <w:tcPr>
            <w:tcW w:w="798"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1475" w:type="dxa"/>
            <w:gridSpan w:val="2"/>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1418" w:type="dxa"/>
          </w:tcPr>
          <w:p>
            <w:pPr>
              <w:spacing w:line="276" w:lineRule="auto"/>
              <w:jc w:val="center"/>
              <w:rPr>
                <w:rFonts w:ascii="宋体" w:hAnsi="宋体" w:eastAsia="宋体" w:cs="宋体"/>
                <w:sz w:val="24"/>
                <w:szCs w:val="24"/>
                <w:highlight w:val="none"/>
              </w:rPr>
            </w:pPr>
          </w:p>
        </w:tc>
        <w:tc>
          <w:tcPr>
            <w:tcW w:w="798"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1475" w:type="dxa"/>
            <w:gridSpan w:val="2"/>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1418" w:type="dxa"/>
          </w:tcPr>
          <w:p>
            <w:pPr>
              <w:spacing w:line="276" w:lineRule="auto"/>
              <w:jc w:val="center"/>
              <w:rPr>
                <w:rFonts w:ascii="宋体" w:hAnsi="宋体" w:eastAsia="宋体" w:cs="宋体"/>
                <w:sz w:val="24"/>
                <w:szCs w:val="24"/>
                <w:highlight w:val="none"/>
              </w:rPr>
            </w:pPr>
          </w:p>
        </w:tc>
        <w:tc>
          <w:tcPr>
            <w:tcW w:w="798"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1475" w:type="dxa"/>
            <w:gridSpan w:val="2"/>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1418" w:type="dxa"/>
          </w:tcPr>
          <w:p>
            <w:pPr>
              <w:spacing w:line="276" w:lineRule="auto"/>
              <w:jc w:val="center"/>
              <w:rPr>
                <w:rFonts w:ascii="宋体" w:hAnsi="宋体" w:eastAsia="宋体" w:cs="宋体"/>
                <w:sz w:val="24"/>
                <w:szCs w:val="24"/>
                <w:highlight w:val="none"/>
              </w:rPr>
            </w:pPr>
          </w:p>
        </w:tc>
        <w:tc>
          <w:tcPr>
            <w:tcW w:w="798"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1475" w:type="dxa"/>
            <w:gridSpan w:val="2"/>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1418" w:type="dxa"/>
          </w:tcPr>
          <w:p>
            <w:pPr>
              <w:spacing w:line="276" w:lineRule="auto"/>
              <w:jc w:val="center"/>
              <w:rPr>
                <w:rFonts w:ascii="宋体" w:hAnsi="宋体" w:eastAsia="宋体" w:cs="宋体"/>
                <w:sz w:val="24"/>
                <w:szCs w:val="24"/>
                <w:highlight w:val="none"/>
              </w:rPr>
            </w:pPr>
          </w:p>
        </w:tc>
        <w:tc>
          <w:tcPr>
            <w:tcW w:w="798"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1475" w:type="dxa"/>
            <w:gridSpan w:val="2"/>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1418" w:type="dxa"/>
          </w:tcPr>
          <w:p>
            <w:pPr>
              <w:spacing w:line="276" w:lineRule="auto"/>
              <w:jc w:val="center"/>
              <w:rPr>
                <w:rFonts w:ascii="宋体" w:hAnsi="宋体" w:eastAsia="宋体" w:cs="宋体"/>
                <w:sz w:val="24"/>
                <w:szCs w:val="24"/>
                <w:highlight w:val="none"/>
              </w:rPr>
            </w:pPr>
          </w:p>
        </w:tc>
        <w:tc>
          <w:tcPr>
            <w:tcW w:w="798"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1475" w:type="dxa"/>
            <w:gridSpan w:val="2"/>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1418" w:type="dxa"/>
          </w:tcPr>
          <w:p>
            <w:pPr>
              <w:spacing w:line="276" w:lineRule="auto"/>
              <w:jc w:val="center"/>
              <w:rPr>
                <w:rFonts w:ascii="宋体" w:hAnsi="宋体" w:eastAsia="宋体" w:cs="宋体"/>
                <w:sz w:val="24"/>
                <w:szCs w:val="24"/>
                <w:highlight w:val="none"/>
              </w:rPr>
            </w:pPr>
          </w:p>
        </w:tc>
        <w:tc>
          <w:tcPr>
            <w:tcW w:w="798"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1475" w:type="dxa"/>
            <w:gridSpan w:val="2"/>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38"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992" w:type="dxa"/>
          </w:tcPr>
          <w:p>
            <w:pPr>
              <w:spacing w:line="276" w:lineRule="auto"/>
              <w:jc w:val="center"/>
              <w:rPr>
                <w:rFonts w:ascii="宋体" w:hAnsi="宋体" w:eastAsia="宋体" w:cs="宋体"/>
                <w:sz w:val="24"/>
                <w:szCs w:val="24"/>
                <w:highlight w:val="none"/>
              </w:rPr>
            </w:pPr>
          </w:p>
        </w:tc>
        <w:tc>
          <w:tcPr>
            <w:tcW w:w="1418" w:type="dxa"/>
          </w:tcPr>
          <w:p>
            <w:pPr>
              <w:spacing w:line="276" w:lineRule="auto"/>
              <w:jc w:val="center"/>
              <w:rPr>
                <w:rFonts w:ascii="宋体" w:hAnsi="宋体" w:eastAsia="宋体" w:cs="宋体"/>
                <w:sz w:val="24"/>
                <w:szCs w:val="24"/>
                <w:highlight w:val="none"/>
              </w:rPr>
            </w:pPr>
          </w:p>
        </w:tc>
        <w:tc>
          <w:tcPr>
            <w:tcW w:w="798"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947" w:type="dxa"/>
          </w:tcPr>
          <w:p>
            <w:pPr>
              <w:spacing w:line="276" w:lineRule="auto"/>
              <w:jc w:val="center"/>
              <w:rPr>
                <w:rFonts w:ascii="宋体" w:hAnsi="宋体" w:eastAsia="宋体" w:cs="宋体"/>
                <w:sz w:val="24"/>
                <w:szCs w:val="24"/>
                <w:highlight w:val="none"/>
              </w:rPr>
            </w:pPr>
          </w:p>
        </w:tc>
        <w:tc>
          <w:tcPr>
            <w:tcW w:w="1475" w:type="dxa"/>
            <w:gridSpan w:val="2"/>
          </w:tcPr>
          <w:p>
            <w:pPr>
              <w:spacing w:line="276" w:lineRule="auto"/>
              <w:jc w:val="center"/>
              <w:rPr>
                <w:rFonts w:ascii="宋体" w:hAnsi="宋体" w:eastAsia="宋体" w:cs="宋体"/>
                <w:sz w:val="24"/>
                <w:szCs w:val="24"/>
                <w:highlight w:val="none"/>
              </w:rPr>
            </w:pPr>
          </w:p>
        </w:tc>
      </w:tr>
    </w:tbl>
    <w:p>
      <w:pPr>
        <w:spacing w:line="276" w:lineRule="auto"/>
        <w:ind w:firstLine="480" w:firstLineChars="200"/>
        <w:rPr>
          <w:rFonts w:ascii="宋体" w:hAnsi="宋体" w:eastAsia="宋体" w:cs="宋体"/>
          <w:b/>
          <w:color w:val="FF0000"/>
          <w:sz w:val="24"/>
          <w:szCs w:val="24"/>
          <w:highlight w:val="none"/>
        </w:rPr>
        <w:sectPr>
          <w:pgSz w:w="11905" w:h="16838"/>
          <w:pgMar w:top="1440" w:right="1134" w:bottom="1440" w:left="1134" w:header="851" w:footer="992" w:gutter="0"/>
          <w:cols w:space="720" w:num="1"/>
          <w:docGrid w:type="lines" w:linePitch="388" w:charSpace="0"/>
        </w:sectPr>
      </w:pPr>
      <w:r>
        <w:rPr>
          <w:rFonts w:hint="eastAsia" w:ascii="宋体" w:hAnsi="宋体" w:eastAsia="宋体" w:cs="宋体"/>
          <w:sz w:val="24"/>
          <w:szCs w:val="24"/>
          <w:highlight w:val="none"/>
        </w:rPr>
        <w:t>参竞人公章：                          年    月    日</w:t>
      </w:r>
    </w:p>
    <w:p>
      <w:pPr>
        <w:pStyle w:val="3"/>
        <w:tabs>
          <w:tab w:val="clear" w:pos="3360"/>
        </w:tabs>
        <w:spacing w:before="312" w:after="156" w:line="276" w:lineRule="auto"/>
        <w:rPr>
          <w:rFonts w:cs="宋体"/>
          <w:bCs/>
          <w:sz w:val="24"/>
          <w:szCs w:val="24"/>
          <w:highlight w:val="none"/>
        </w:rPr>
      </w:pPr>
      <w:r>
        <w:rPr>
          <w:rFonts w:hint="eastAsia" w:cs="宋体"/>
          <w:bCs/>
          <w:sz w:val="24"/>
          <w:szCs w:val="24"/>
          <w:highlight w:val="none"/>
        </w:rPr>
        <w:t>（二）主要人员简历表</w:t>
      </w:r>
    </w:p>
    <w:p>
      <w:pPr>
        <w:spacing w:line="276"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主要人员简历表</w:t>
      </w:r>
    </w:p>
    <w:tbl>
      <w:tblPr>
        <w:tblStyle w:val="33"/>
        <w:tblW w:w="0" w:type="auto"/>
        <w:jc w:val="center"/>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49"/>
        <w:gridCol w:w="1085"/>
        <w:gridCol w:w="1134"/>
        <w:gridCol w:w="1331"/>
        <w:gridCol w:w="87"/>
        <w:gridCol w:w="1713"/>
        <w:gridCol w:w="838"/>
        <w:gridCol w:w="1256"/>
      </w:tblGrid>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18"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姓 名</w:t>
            </w:r>
          </w:p>
        </w:tc>
        <w:tc>
          <w:tcPr>
            <w:tcW w:w="1134" w:type="dxa"/>
            <w:gridSpan w:val="2"/>
            <w:vAlign w:val="center"/>
          </w:tcPr>
          <w:p>
            <w:pPr>
              <w:spacing w:line="276" w:lineRule="auto"/>
              <w:jc w:val="center"/>
              <w:rPr>
                <w:rFonts w:ascii="宋体" w:hAnsi="宋体" w:eastAsia="宋体" w:cs="宋体"/>
                <w:sz w:val="24"/>
                <w:szCs w:val="24"/>
                <w:highlight w:val="none"/>
              </w:rPr>
            </w:pPr>
          </w:p>
        </w:tc>
        <w:tc>
          <w:tcPr>
            <w:tcW w:w="1134"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年 龄</w:t>
            </w:r>
          </w:p>
        </w:tc>
        <w:tc>
          <w:tcPr>
            <w:tcW w:w="1418" w:type="dxa"/>
            <w:gridSpan w:val="2"/>
            <w:vAlign w:val="center"/>
          </w:tcPr>
          <w:p>
            <w:pPr>
              <w:spacing w:line="276" w:lineRule="auto"/>
              <w:jc w:val="center"/>
              <w:rPr>
                <w:rFonts w:ascii="宋体" w:hAnsi="宋体" w:eastAsia="宋体" w:cs="宋体"/>
                <w:sz w:val="24"/>
                <w:szCs w:val="24"/>
                <w:highlight w:val="none"/>
              </w:rPr>
            </w:pPr>
          </w:p>
        </w:tc>
        <w:tc>
          <w:tcPr>
            <w:tcW w:w="2551" w:type="dxa"/>
            <w:gridSpan w:val="2"/>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学历</w:t>
            </w:r>
          </w:p>
        </w:tc>
        <w:tc>
          <w:tcPr>
            <w:tcW w:w="1256" w:type="dxa"/>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18"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职 称</w:t>
            </w:r>
          </w:p>
        </w:tc>
        <w:tc>
          <w:tcPr>
            <w:tcW w:w="1134" w:type="dxa"/>
            <w:gridSpan w:val="2"/>
            <w:vAlign w:val="center"/>
          </w:tcPr>
          <w:p>
            <w:pPr>
              <w:spacing w:line="276" w:lineRule="auto"/>
              <w:jc w:val="center"/>
              <w:rPr>
                <w:rFonts w:ascii="宋体" w:hAnsi="宋体" w:eastAsia="宋体" w:cs="宋体"/>
                <w:sz w:val="24"/>
                <w:szCs w:val="24"/>
                <w:highlight w:val="none"/>
              </w:rPr>
            </w:pPr>
          </w:p>
        </w:tc>
        <w:tc>
          <w:tcPr>
            <w:tcW w:w="1134"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职 务</w:t>
            </w:r>
          </w:p>
        </w:tc>
        <w:tc>
          <w:tcPr>
            <w:tcW w:w="1418" w:type="dxa"/>
            <w:gridSpan w:val="2"/>
            <w:vAlign w:val="center"/>
          </w:tcPr>
          <w:p>
            <w:pPr>
              <w:spacing w:line="276" w:lineRule="auto"/>
              <w:jc w:val="center"/>
              <w:rPr>
                <w:rFonts w:ascii="宋体" w:hAnsi="宋体" w:eastAsia="宋体" w:cs="宋体"/>
                <w:sz w:val="24"/>
                <w:szCs w:val="24"/>
                <w:highlight w:val="none"/>
              </w:rPr>
            </w:pPr>
          </w:p>
        </w:tc>
        <w:tc>
          <w:tcPr>
            <w:tcW w:w="2551" w:type="dxa"/>
            <w:gridSpan w:val="2"/>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拟在本合同任职</w:t>
            </w:r>
          </w:p>
        </w:tc>
        <w:tc>
          <w:tcPr>
            <w:tcW w:w="1256" w:type="dxa"/>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18" w:type="dxa"/>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毕业学校</w:t>
            </w:r>
          </w:p>
        </w:tc>
        <w:tc>
          <w:tcPr>
            <w:tcW w:w="7493" w:type="dxa"/>
            <w:gridSpan w:val="8"/>
            <w:vAlign w:val="center"/>
          </w:tcPr>
          <w:p>
            <w:pPr>
              <w:spacing w:line="276" w:lineRule="auto"/>
              <w:ind w:firstLine="960" w:firstLineChars="400"/>
              <w:jc w:val="center"/>
              <w:rPr>
                <w:rFonts w:ascii="宋体" w:hAnsi="宋体" w:eastAsia="宋体" w:cs="宋体"/>
                <w:sz w:val="24"/>
                <w:szCs w:val="24"/>
                <w:highlight w:val="none"/>
              </w:rPr>
            </w:pPr>
            <w:r>
              <w:rPr>
                <w:rFonts w:hint="eastAsia" w:ascii="宋体" w:hAnsi="宋体" w:eastAsia="宋体" w:cs="宋体"/>
                <w:sz w:val="24"/>
                <w:szCs w:val="24"/>
                <w:highlight w:val="none"/>
              </w:rPr>
              <w:t>年毕业于       学校        专业</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911" w:type="dxa"/>
            <w:gridSpan w:val="9"/>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主要工作经历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67" w:type="dxa"/>
            <w:gridSpan w:val="2"/>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时 间</w:t>
            </w:r>
          </w:p>
        </w:tc>
        <w:tc>
          <w:tcPr>
            <w:tcW w:w="3550" w:type="dxa"/>
            <w:gridSpan w:val="3"/>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参加过的类似项目</w:t>
            </w:r>
          </w:p>
        </w:tc>
        <w:tc>
          <w:tcPr>
            <w:tcW w:w="1800" w:type="dxa"/>
            <w:gridSpan w:val="2"/>
            <w:vAlign w:val="center"/>
          </w:tcPr>
          <w:p>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担任职务</w:t>
            </w:r>
          </w:p>
        </w:tc>
        <w:tc>
          <w:tcPr>
            <w:tcW w:w="2094" w:type="dxa"/>
            <w:gridSpan w:val="2"/>
            <w:vAlign w:val="center"/>
          </w:tcPr>
          <w:p>
            <w:pPr>
              <w:spacing w:line="276" w:lineRule="auto"/>
              <w:jc w:val="center"/>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发包人及联系电话</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67" w:type="dxa"/>
            <w:gridSpan w:val="2"/>
            <w:vAlign w:val="center"/>
          </w:tcPr>
          <w:p>
            <w:pPr>
              <w:spacing w:line="276" w:lineRule="auto"/>
              <w:jc w:val="center"/>
              <w:rPr>
                <w:rFonts w:ascii="宋体" w:hAnsi="宋体" w:eastAsia="宋体" w:cs="宋体"/>
                <w:sz w:val="24"/>
                <w:szCs w:val="24"/>
                <w:highlight w:val="none"/>
              </w:rPr>
            </w:pPr>
          </w:p>
        </w:tc>
        <w:tc>
          <w:tcPr>
            <w:tcW w:w="3550" w:type="dxa"/>
            <w:gridSpan w:val="3"/>
            <w:vAlign w:val="center"/>
          </w:tcPr>
          <w:p>
            <w:pPr>
              <w:spacing w:line="276" w:lineRule="auto"/>
              <w:jc w:val="center"/>
              <w:rPr>
                <w:rFonts w:ascii="宋体" w:hAnsi="宋体" w:eastAsia="宋体" w:cs="宋体"/>
                <w:sz w:val="24"/>
                <w:szCs w:val="24"/>
                <w:highlight w:val="none"/>
              </w:rPr>
            </w:pPr>
          </w:p>
        </w:tc>
        <w:tc>
          <w:tcPr>
            <w:tcW w:w="1800" w:type="dxa"/>
            <w:gridSpan w:val="2"/>
            <w:vAlign w:val="center"/>
          </w:tcPr>
          <w:p>
            <w:pPr>
              <w:spacing w:line="276" w:lineRule="auto"/>
              <w:jc w:val="center"/>
              <w:rPr>
                <w:rFonts w:ascii="宋体" w:hAnsi="宋体" w:eastAsia="宋体" w:cs="宋体"/>
                <w:sz w:val="24"/>
                <w:szCs w:val="24"/>
                <w:highlight w:val="none"/>
              </w:rPr>
            </w:pPr>
          </w:p>
        </w:tc>
        <w:tc>
          <w:tcPr>
            <w:tcW w:w="2094" w:type="dxa"/>
            <w:gridSpan w:val="2"/>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67" w:type="dxa"/>
            <w:gridSpan w:val="2"/>
            <w:vAlign w:val="center"/>
          </w:tcPr>
          <w:p>
            <w:pPr>
              <w:spacing w:line="276" w:lineRule="auto"/>
              <w:jc w:val="center"/>
              <w:rPr>
                <w:rFonts w:ascii="宋体" w:hAnsi="宋体" w:eastAsia="宋体" w:cs="宋体"/>
                <w:sz w:val="24"/>
                <w:szCs w:val="24"/>
                <w:highlight w:val="none"/>
              </w:rPr>
            </w:pPr>
          </w:p>
        </w:tc>
        <w:tc>
          <w:tcPr>
            <w:tcW w:w="3550" w:type="dxa"/>
            <w:gridSpan w:val="3"/>
            <w:vAlign w:val="center"/>
          </w:tcPr>
          <w:p>
            <w:pPr>
              <w:spacing w:line="276" w:lineRule="auto"/>
              <w:jc w:val="center"/>
              <w:rPr>
                <w:rFonts w:ascii="宋体" w:hAnsi="宋体" w:eastAsia="宋体" w:cs="宋体"/>
                <w:sz w:val="24"/>
                <w:szCs w:val="24"/>
                <w:highlight w:val="none"/>
              </w:rPr>
            </w:pPr>
          </w:p>
        </w:tc>
        <w:tc>
          <w:tcPr>
            <w:tcW w:w="1800" w:type="dxa"/>
            <w:gridSpan w:val="2"/>
            <w:vAlign w:val="center"/>
          </w:tcPr>
          <w:p>
            <w:pPr>
              <w:spacing w:line="276" w:lineRule="auto"/>
              <w:jc w:val="center"/>
              <w:rPr>
                <w:rFonts w:ascii="宋体" w:hAnsi="宋体" w:eastAsia="宋体" w:cs="宋体"/>
                <w:sz w:val="24"/>
                <w:szCs w:val="24"/>
                <w:highlight w:val="none"/>
              </w:rPr>
            </w:pPr>
          </w:p>
        </w:tc>
        <w:tc>
          <w:tcPr>
            <w:tcW w:w="2094" w:type="dxa"/>
            <w:gridSpan w:val="2"/>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67" w:type="dxa"/>
            <w:gridSpan w:val="2"/>
            <w:vAlign w:val="center"/>
          </w:tcPr>
          <w:p>
            <w:pPr>
              <w:spacing w:line="276" w:lineRule="auto"/>
              <w:jc w:val="center"/>
              <w:rPr>
                <w:rFonts w:ascii="宋体" w:hAnsi="宋体" w:eastAsia="宋体" w:cs="宋体"/>
                <w:sz w:val="24"/>
                <w:szCs w:val="24"/>
                <w:highlight w:val="none"/>
              </w:rPr>
            </w:pPr>
          </w:p>
        </w:tc>
        <w:tc>
          <w:tcPr>
            <w:tcW w:w="3550" w:type="dxa"/>
            <w:gridSpan w:val="3"/>
            <w:vAlign w:val="center"/>
          </w:tcPr>
          <w:p>
            <w:pPr>
              <w:spacing w:line="276" w:lineRule="auto"/>
              <w:jc w:val="center"/>
              <w:rPr>
                <w:rFonts w:ascii="宋体" w:hAnsi="宋体" w:eastAsia="宋体" w:cs="宋体"/>
                <w:sz w:val="24"/>
                <w:szCs w:val="24"/>
                <w:highlight w:val="none"/>
              </w:rPr>
            </w:pPr>
          </w:p>
        </w:tc>
        <w:tc>
          <w:tcPr>
            <w:tcW w:w="1800" w:type="dxa"/>
            <w:gridSpan w:val="2"/>
            <w:vAlign w:val="center"/>
          </w:tcPr>
          <w:p>
            <w:pPr>
              <w:spacing w:line="276" w:lineRule="auto"/>
              <w:jc w:val="center"/>
              <w:rPr>
                <w:rFonts w:ascii="宋体" w:hAnsi="宋体" w:eastAsia="宋体" w:cs="宋体"/>
                <w:sz w:val="24"/>
                <w:szCs w:val="24"/>
                <w:highlight w:val="none"/>
              </w:rPr>
            </w:pPr>
          </w:p>
        </w:tc>
        <w:tc>
          <w:tcPr>
            <w:tcW w:w="2094" w:type="dxa"/>
            <w:gridSpan w:val="2"/>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67" w:type="dxa"/>
            <w:gridSpan w:val="2"/>
            <w:vAlign w:val="center"/>
          </w:tcPr>
          <w:p>
            <w:pPr>
              <w:spacing w:line="276" w:lineRule="auto"/>
              <w:jc w:val="center"/>
              <w:rPr>
                <w:rFonts w:ascii="宋体" w:hAnsi="宋体" w:eastAsia="宋体" w:cs="宋体"/>
                <w:sz w:val="24"/>
                <w:szCs w:val="24"/>
                <w:highlight w:val="none"/>
              </w:rPr>
            </w:pPr>
          </w:p>
        </w:tc>
        <w:tc>
          <w:tcPr>
            <w:tcW w:w="3550" w:type="dxa"/>
            <w:gridSpan w:val="3"/>
            <w:vAlign w:val="center"/>
          </w:tcPr>
          <w:p>
            <w:pPr>
              <w:spacing w:line="276" w:lineRule="auto"/>
              <w:jc w:val="center"/>
              <w:rPr>
                <w:rFonts w:ascii="宋体" w:hAnsi="宋体" w:eastAsia="宋体" w:cs="宋体"/>
                <w:sz w:val="24"/>
                <w:szCs w:val="24"/>
                <w:highlight w:val="none"/>
              </w:rPr>
            </w:pPr>
          </w:p>
        </w:tc>
        <w:tc>
          <w:tcPr>
            <w:tcW w:w="1800" w:type="dxa"/>
            <w:gridSpan w:val="2"/>
            <w:vAlign w:val="center"/>
          </w:tcPr>
          <w:p>
            <w:pPr>
              <w:spacing w:line="276" w:lineRule="auto"/>
              <w:jc w:val="center"/>
              <w:rPr>
                <w:rFonts w:ascii="宋体" w:hAnsi="宋体" w:eastAsia="宋体" w:cs="宋体"/>
                <w:sz w:val="24"/>
                <w:szCs w:val="24"/>
                <w:highlight w:val="none"/>
              </w:rPr>
            </w:pPr>
          </w:p>
        </w:tc>
        <w:tc>
          <w:tcPr>
            <w:tcW w:w="2094" w:type="dxa"/>
            <w:gridSpan w:val="2"/>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67" w:type="dxa"/>
            <w:gridSpan w:val="2"/>
            <w:vAlign w:val="center"/>
          </w:tcPr>
          <w:p>
            <w:pPr>
              <w:spacing w:line="276" w:lineRule="auto"/>
              <w:jc w:val="center"/>
              <w:rPr>
                <w:rFonts w:ascii="宋体" w:hAnsi="宋体" w:eastAsia="宋体" w:cs="宋体"/>
                <w:sz w:val="24"/>
                <w:szCs w:val="24"/>
                <w:highlight w:val="none"/>
              </w:rPr>
            </w:pPr>
          </w:p>
        </w:tc>
        <w:tc>
          <w:tcPr>
            <w:tcW w:w="3550" w:type="dxa"/>
            <w:gridSpan w:val="3"/>
            <w:vAlign w:val="center"/>
          </w:tcPr>
          <w:p>
            <w:pPr>
              <w:spacing w:line="276" w:lineRule="auto"/>
              <w:jc w:val="center"/>
              <w:rPr>
                <w:rFonts w:ascii="宋体" w:hAnsi="宋体" w:eastAsia="宋体" w:cs="宋体"/>
                <w:sz w:val="24"/>
                <w:szCs w:val="24"/>
                <w:highlight w:val="none"/>
              </w:rPr>
            </w:pPr>
          </w:p>
        </w:tc>
        <w:tc>
          <w:tcPr>
            <w:tcW w:w="1800" w:type="dxa"/>
            <w:gridSpan w:val="2"/>
            <w:vAlign w:val="center"/>
          </w:tcPr>
          <w:p>
            <w:pPr>
              <w:spacing w:line="276" w:lineRule="auto"/>
              <w:jc w:val="center"/>
              <w:rPr>
                <w:rFonts w:ascii="宋体" w:hAnsi="宋体" w:eastAsia="宋体" w:cs="宋体"/>
                <w:sz w:val="24"/>
                <w:szCs w:val="24"/>
                <w:highlight w:val="none"/>
              </w:rPr>
            </w:pPr>
          </w:p>
        </w:tc>
        <w:tc>
          <w:tcPr>
            <w:tcW w:w="2094" w:type="dxa"/>
            <w:gridSpan w:val="2"/>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67" w:type="dxa"/>
            <w:gridSpan w:val="2"/>
            <w:vAlign w:val="center"/>
          </w:tcPr>
          <w:p>
            <w:pPr>
              <w:spacing w:line="276" w:lineRule="auto"/>
              <w:jc w:val="center"/>
              <w:rPr>
                <w:rFonts w:ascii="宋体" w:hAnsi="宋体" w:eastAsia="宋体" w:cs="宋体"/>
                <w:sz w:val="24"/>
                <w:szCs w:val="24"/>
                <w:highlight w:val="none"/>
              </w:rPr>
            </w:pPr>
          </w:p>
        </w:tc>
        <w:tc>
          <w:tcPr>
            <w:tcW w:w="3550" w:type="dxa"/>
            <w:gridSpan w:val="3"/>
            <w:vAlign w:val="center"/>
          </w:tcPr>
          <w:p>
            <w:pPr>
              <w:spacing w:line="276" w:lineRule="auto"/>
              <w:jc w:val="center"/>
              <w:rPr>
                <w:rFonts w:ascii="宋体" w:hAnsi="宋体" w:eastAsia="宋体" w:cs="宋体"/>
                <w:sz w:val="24"/>
                <w:szCs w:val="24"/>
                <w:highlight w:val="none"/>
              </w:rPr>
            </w:pPr>
          </w:p>
        </w:tc>
        <w:tc>
          <w:tcPr>
            <w:tcW w:w="1800" w:type="dxa"/>
            <w:gridSpan w:val="2"/>
            <w:vAlign w:val="center"/>
          </w:tcPr>
          <w:p>
            <w:pPr>
              <w:spacing w:line="276" w:lineRule="auto"/>
              <w:jc w:val="center"/>
              <w:rPr>
                <w:rFonts w:ascii="宋体" w:hAnsi="宋体" w:eastAsia="宋体" w:cs="宋体"/>
                <w:sz w:val="24"/>
                <w:szCs w:val="24"/>
                <w:highlight w:val="none"/>
              </w:rPr>
            </w:pPr>
          </w:p>
        </w:tc>
        <w:tc>
          <w:tcPr>
            <w:tcW w:w="2094" w:type="dxa"/>
            <w:gridSpan w:val="2"/>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67" w:type="dxa"/>
            <w:gridSpan w:val="2"/>
            <w:vAlign w:val="center"/>
          </w:tcPr>
          <w:p>
            <w:pPr>
              <w:spacing w:line="276" w:lineRule="auto"/>
              <w:jc w:val="center"/>
              <w:rPr>
                <w:rFonts w:ascii="宋体" w:hAnsi="宋体" w:eastAsia="宋体" w:cs="宋体"/>
                <w:sz w:val="24"/>
                <w:szCs w:val="24"/>
                <w:highlight w:val="none"/>
              </w:rPr>
            </w:pPr>
          </w:p>
        </w:tc>
        <w:tc>
          <w:tcPr>
            <w:tcW w:w="3550" w:type="dxa"/>
            <w:gridSpan w:val="3"/>
            <w:vAlign w:val="center"/>
          </w:tcPr>
          <w:p>
            <w:pPr>
              <w:spacing w:line="276" w:lineRule="auto"/>
              <w:jc w:val="center"/>
              <w:rPr>
                <w:rFonts w:ascii="宋体" w:hAnsi="宋体" w:eastAsia="宋体" w:cs="宋体"/>
                <w:sz w:val="24"/>
                <w:szCs w:val="24"/>
                <w:highlight w:val="none"/>
              </w:rPr>
            </w:pPr>
          </w:p>
        </w:tc>
        <w:tc>
          <w:tcPr>
            <w:tcW w:w="1800" w:type="dxa"/>
            <w:gridSpan w:val="2"/>
            <w:vAlign w:val="center"/>
          </w:tcPr>
          <w:p>
            <w:pPr>
              <w:spacing w:line="276" w:lineRule="auto"/>
              <w:jc w:val="center"/>
              <w:rPr>
                <w:rFonts w:ascii="宋体" w:hAnsi="宋体" w:eastAsia="宋体" w:cs="宋体"/>
                <w:sz w:val="24"/>
                <w:szCs w:val="24"/>
                <w:highlight w:val="none"/>
              </w:rPr>
            </w:pPr>
          </w:p>
        </w:tc>
        <w:tc>
          <w:tcPr>
            <w:tcW w:w="2094" w:type="dxa"/>
            <w:gridSpan w:val="2"/>
            <w:vAlign w:val="center"/>
          </w:tcPr>
          <w:p>
            <w:pPr>
              <w:spacing w:line="276" w:lineRule="auto"/>
              <w:jc w:val="center"/>
              <w:rPr>
                <w:rFonts w:ascii="宋体" w:hAnsi="宋体" w:eastAsia="宋体" w:cs="宋体"/>
                <w:sz w:val="24"/>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67" w:type="dxa"/>
            <w:gridSpan w:val="2"/>
            <w:vAlign w:val="center"/>
          </w:tcPr>
          <w:p>
            <w:pPr>
              <w:spacing w:line="276" w:lineRule="auto"/>
              <w:jc w:val="center"/>
              <w:rPr>
                <w:rFonts w:ascii="宋体" w:hAnsi="宋体" w:eastAsia="宋体" w:cs="宋体"/>
                <w:sz w:val="24"/>
                <w:szCs w:val="24"/>
                <w:highlight w:val="none"/>
              </w:rPr>
            </w:pPr>
          </w:p>
        </w:tc>
        <w:tc>
          <w:tcPr>
            <w:tcW w:w="3550" w:type="dxa"/>
            <w:gridSpan w:val="3"/>
            <w:vAlign w:val="center"/>
          </w:tcPr>
          <w:p>
            <w:pPr>
              <w:spacing w:line="276" w:lineRule="auto"/>
              <w:jc w:val="center"/>
              <w:rPr>
                <w:rFonts w:ascii="宋体" w:hAnsi="宋体" w:eastAsia="宋体" w:cs="宋体"/>
                <w:sz w:val="24"/>
                <w:szCs w:val="24"/>
                <w:highlight w:val="none"/>
              </w:rPr>
            </w:pPr>
          </w:p>
        </w:tc>
        <w:tc>
          <w:tcPr>
            <w:tcW w:w="1800" w:type="dxa"/>
            <w:gridSpan w:val="2"/>
            <w:vAlign w:val="center"/>
          </w:tcPr>
          <w:p>
            <w:pPr>
              <w:spacing w:line="276" w:lineRule="auto"/>
              <w:jc w:val="center"/>
              <w:rPr>
                <w:rFonts w:ascii="宋体" w:hAnsi="宋体" w:eastAsia="宋体" w:cs="宋体"/>
                <w:sz w:val="24"/>
                <w:szCs w:val="24"/>
                <w:highlight w:val="none"/>
              </w:rPr>
            </w:pPr>
          </w:p>
        </w:tc>
        <w:tc>
          <w:tcPr>
            <w:tcW w:w="2094" w:type="dxa"/>
            <w:gridSpan w:val="2"/>
            <w:vAlign w:val="center"/>
          </w:tcPr>
          <w:p>
            <w:pPr>
              <w:spacing w:line="276" w:lineRule="auto"/>
              <w:jc w:val="center"/>
              <w:rPr>
                <w:rFonts w:ascii="宋体" w:hAnsi="宋体" w:eastAsia="宋体" w:cs="宋体"/>
                <w:sz w:val="24"/>
                <w:szCs w:val="24"/>
                <w:highlight w:val="none"/>
              </w:rPr>
            </w:pPr>
          </w:p>
        </w:tc>
      </w:tr>
    </w:tbl>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参竞人公章：                          年   月    日</w:t>
      </w:r>
    </w:p>
    <w:p>
      <w:pPr>
        <w:spacing w:line="276" w:lineRule="auto"/>
        <w:ind w:firstLine="480" w:firstLineChars="200"/>
        <w:rPr>
          <w:rFonts w:ascii="宋体" w:hAnsi="宋体" w:eastAsia="宋体" w:cs="宋体"/>
          <w:sz w:val="24"/>
          <w:szCs w:val="24"/>
          <w:highlight w:val="none"/>
        </w:rPr>
      </w:pPr>
    </w:p>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（三）其他内容无固定格式，请各参竞人自行设计，可参照参竞文件的递交要求进行编制。</w:t>
      </w:r>
    </w:p>
    <w:p>
      <w:pPr>
        <w:pStyle w:val="3"/>
        <w:tabs>
          <w:tab w:val="clear" w:pos="3360"/>
        </w:tabs>
        <w:spacing w:before="380" w:after="190" w:line="276" w:lineRule="auto"/>
        <w:rPr>
          <w:rFonts w:cs="宋体"/>
          <w:b/>
          <w:sz w:val="24"/>
          <w:szCs w:val="24"/>
          <w:highlight w:val="none"/>
        </w:rPr>
      </w:pPr>
      <w:r>
        <w:rPr>
          <w:rFonts w:hint="eastAsia" w:cs="宋体"/>
          <w:b/>
          <w:sz w:val="24"/>
          <w:szCs w:val="24"/>
          <w:highlight w:val="none"/>
        </w:rPr>
        <w:br w:type="page"/>
      </w:r>
      <w:r>
        <w:rPr>
          <w:rFonts w:hint="eastAsia" w:cs="宋体"/>
          <w:b/>
          <w:sz w:val="24"/>
          <w:szCs w:val="24"/>
          <w:highlight w:val="none"/>
        </w:rPr>
        <w:t>十一、商务部分响应文件</w:t>
      </w:r>
    </w:p>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以上内容无固定格式，请各参竞人自行设计，可参照参竞文件的递交要求进行编制。</w:t>
      </w:r>
    </w:p>
    <w:p>
      <w:pPr>
        <w:spacing w:line="276" w:lineRule="auto"/>
        <w:ind w:firstLine="480" w:firstLineChars="200"/>
        <w:rPr>
          <w:rFonts w:ascii="宋体" w:hAnsi="宋体" w:eastAsia="宋体" w:cs="宋体"/>
          <w:sz w:val="24"/>
          <w:szCs w:val="24"/>
          <w:highlight w:val="none"/>
        </w:rPr>
      </w:pPr>
    </w:p>
    <w:p>
      <w:pPr>
        <w:pStyle w:val="5"/>
        <w:numPr>
          <w:ilvl w:val="0"/>
          <w:numId w:val="0"/>
        </w:num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十二、其他应提供的资料</w:t>
      </w:r>
    </w:p>
    <w:p>
      <w:pPr>
        <w:spacing w:line="276" w:lineRule="auto"/>
        <w:rPr>
          <w:rFonts w:ascii="宋体" w:hAnsi="宋体" w:eastAsia="宋体" w:cs="宋体"/>
          <w:b/>
          <w:bCs/>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b/>
          <w:bCs/>
          <w:sz w:val="24"/>
          <w:szCs w:val="24"/>
          <w:highlight w:val="none"/>
        </w:rPr>
        <w:t xml:space="preserve">  </w:t>
      </w:r>
    </w:p>
    <w:p>
      <w:pPr>
        <w:spacing w:line="276" w:lineRule="auto"/>
        <w:rPr>
          <w:rFonts w:ascii="宋体" w:hAnsi="宋体" w:eastAsia="宋体" w:cs="宋体"/>
          <w:b/>
          <w:bCs/>
          <w:sz w:val="24"/>
          <w:szCs w:val="24"/>
          <w:highlight w:val="none"/>
        </w:rPr>
      </w:pPr>
      <w:r>
        <w:rPr>
          <w:rFonts w:hint="eastAsia" w:ascii="宋体" w:hAnsi="宋体" w:eastAsia="宋体" w:cs="宋体"/>
          <w:b/>
          <w:bCs/>
          <w:sz w:val="24"/>
          <w:szCs w:val="24"/>
          <w:highlight w:val="none"/>
        </w:rPr>
        <w:t>特别说明：</w:t>
      </w:r>
    </w:p>
    <w:p>
      <w:pPr>
        <w:spacing w:line="276" w:lineRule="auto"/>
        <w:rPr>
          <w:rFonts w:ascii="宋体" w:hAnsi="宋体" w:eastAsia="宋体" w:cs="宋体"/>
          <w:b/>
          <w:bCs/>
          <w:sz w:val="24"/>
          <w:szCs w:val="24"/>
          <w:highlight w:val="none"/>
        </w:rPr>
      </w:pPr>
      <w:r>
        <w:rPr>
          <w:rFonts w:hint="eastAsia" w:ascii="宋体" w:hAnsi="宋体" w:eastAsia="宋体" w:cs="宋体"/>
          <w:b/>
          <w:bCs/>
          <w:sz w:val="24"/>
          <w:szCs w:val="24"/>
          <w:highlight w:val="none"/>
        </w:rPr>
        <w:t xml:space="preserve">    本项目</w:t>
      </w:r>
      <w:r>
        <w:rPr>
          <w:rStyle w:val="81"/>
          <w:rFonts w:hint="eastAsia" w:ascii="宋体" w:hAnsi="宋体" w:eastAsia="宋体" w:cs="宋体"/>
          <w:b/>
          <w:bCs/>
          <w:sz w:val="24"/>
          <w:szCs w:val="24"/>
          <w:highlight w:val="none"/>
        </w:rPr>
        <w:t>文件的解释权归四川外国语大学。</w:t>
      </w:r>
    </w:p>
    <w:p>
      <w:pPr>
        <w:spacing w:line="276" w:lineRule="auto"/>
        <w:ind w:firstLine="480" w:firstLineChars="200"/>
        <w:rPr>
          <w:rFonts w:ascii="宋体" w:hAnsi="宋体" w:eastAsia="宋体" w:cs="宋体"/>
          <w:sz w:val="24"/>
          <w:szCs w:val="24"/>
          <w:highlight w:val="none"/>
        </w:rPr>
      </w:pPr>
    </w:p>
    <w:p>
      <w:pPr>
        <w:pStyle w:val="2"/>
        <w:spacing w:before="312" w:after="156" w:line="276" w:lineRule="auto"/>
        <w:rPr>
          <w:rFonts w:ascii="宋体" w:hAnsi="宋体" w:eastAsia="宋体" w:cs="宋体"/>
          <w:b/>
          <w:sz w:val="24"/>
          <w:szCs w:val="24"/>
          <w:highlight w:val="none"/>
        </w:rPr>
      </w:pPr>
      <w:r>
        <w:rPr>
          <w:rFonts w:hint="eastAsia" w:ascii="宋体" w:hAnsi="宋体" w:eastAsia="宋体" w:cs="宋体"/>
          <w:b/>
          <w:sz w:val="24"/>
          <w:szCs w:val="24"/>
          <w:highlight w:val="none"/>
        </w:rPr>
        <w:t>第六篇 合同范本及附件</w:t>
      </w:r>
    </w:p>
    <w:p>
      <w:pPr>
        <w:spacing w:line="276"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一、四川外国语大学学生食堂联合经营管理合同（范本）</w:t>
      </w:r>
    </w:p>
    <w:p>
      <w:pPr>
        <w:spacing w:line="276"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二、附件</w:t>
      </w:r>
      <w:r>
        <w:rPr>
          <w:rFonts w:ascii="宋体" w:hAnsi="宋体" w:eastAsia="宋体" w:cs="宋体"/>
          <w:b/>
          <w:sz w:val="24"/>
          <w:szCs w:val="24"/>
          <w:highlight w:val="none"/>
        </w:rPr>
        <w:t>1：四川外国语大学对社会企业参与学生食堂联合经营日常考核实施细则</w:t>
      </w:r>
    </w:p>
    <w:p>
      <w:pPr>
        <w:spacing w:line="276"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三、附件2：四川外国语大学对社会企业参与学生食堂联合经营年度考核办法</w:t>
      </w:r>
    </w:p>
    <w:p>
      <w:pPr>
        <w:spacing w:line="276"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四、附件3：四川外国语大学食堂餐饮服务满意度调查问卷</w:t>
      </w:r>
    </w:p>
    <w:p>
      <w:pPr>
        <w:spacing w:line="276"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五、附件4：四川外国语大学东校区学生食堂联合经营项目报名表</w:t>
      </w:r>
    </w:p>
    <w:p>
      <w:pPr>
        <w:spacing w:line="276"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六、附件5：食堂规划分区示意图（东校区学生食堂）</w:t>
      </w:r>
    </w:p>
    <w:p>
      <w:pPr>
        <w:spacing w:line="276" w:lineRule="auto"/>
        <w:rPr>
          <w:rFonts w:ascii="宋体" w:hAnsi="宋体" w:eastAsia="宋体" w:cs="宋体"/>
          <w:b/>
          <w:sz w:val="24"/>
          <w:szCs w:val="24"/>
          <w:highlight w:val="none"/>
        </w:rPr>
      </w:pPr>
    </w:p>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w:t>
      </w:r>
    </w:p>
    <w:p>
      <w:pPr>
        <w:spacing w:line="276" w:lineRule="auto"/>
        <w:rPr>
          <w:rFonts w:ascii="宋体" w:hAnsi="宋体" w:eastAsia="宋体" w:cs="宋体"/>
          <w:sz w:val="24"/>
          <w:szCs w:val="24"/>
          <w:highlight w:val="none"/>
        </w:rPr>
      </w:pPr>
    </w:p>
    <w:p>
      <w:pPr>
        <w:spacing w:line="276" w:lineRule="auto"/>
        <w:rPr>
          <w:rFonts w:ascii="宋体" w:hAnsi="宋体" w:eastAsia="宋体" w:cs="宋体"/>
          <w:sz w:val="24"/>
          <w:szCs w:val="24"/>
          <w:highlight w:val="none"/>
        </w:rPr>
      </w:pPr>
    </w:p>
    <w:p>
      <w:pPr>
        <w:spacing w:line="276" w:lineRule="auto"/>
        <w:ind w:firstLine="5040" w:firstLineChars="2100"/>
        <w:rPr>
          <w:rFonts w:ascii="宋体" w:hAnsi="宋体" w:eastAsia="宋体" w:cs="宋体"/>
          <w:sz w:val="24"/>
          <w:szCs w:val="24"/>
          <w:highlight w:val="none"/>
        </w:rPr>
      </w:pPr>
      <w:r>
        <w:rPr>
          <w:rFonts w:hint="eastAsia" w:ascii="宋体" w:hAnsi="宋体" w:eastAsia="宋体" w:cs="宋体"/>
          <w:sz w:val="24"/>
          <w:szCs w:val="24"/>
          <w:highlight w:val="none"/>
        </w:rPr>
        <w:t xml:space="preserve"> 四川外国语大学</w:t>
      </w:r>
    </w:p>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w:t>
      </w:r>
    </w:p>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202</w:t>
      </w:r>
      <w:r>
        <w:rPr>
          <w:rFonts w:ascii="宋体" w:hAnsi="宋体" w:eastAsia="宋体" w:cs="宋体"/>
          <w:sz w:val="24"/>
          <w:szCs w:val="24"/>
          <w:highlight w:val="none"/>
        </w:rPr>
        <w:t>5</w:t>
      </w:r>
      <w:r>
        <w:rPr>
          <w:rFonts w:hint="eastAsia" w:ascii="宋体" w:hAnsi="宋体" w:eastAsia="宋体" w:cs="宋体"/>
          <w:sz w:val="24"/>
          <w:szCs w:val="24"/>
          <w:highlight w:val="none"/>
        </w:rPr>
        <w:t>年</w:t>
      </w:r>
      <w:r>
        <w:rPr>
          <w:rFonts w:ascii="宋体" w:hAnsi="宋体" w:eastAsia="宋体" w:cs="宋体"/>
          <w:sz w:val="24"/>
          <w:szCs w:val="24"/>
          <w:highlight w:val="none"/>
        </w:rPr>
        <w:t>6</w:t>
      </w:r>
      <w:r>
        <w:rPr>
          <w:rFonts w:hint="eastAsia" w:ascii="宋体" w:hAnsi="宋体" w:eastAsia="宋体" w:cs="宋体"/>
          <w:sz w:val="24"/>
          <w:szCs w:val="24"/>
          <w:highlight w:val="none"/>
        </w:rPr>
        <w:t>月</w:t>
      </w:r>
      <w:r>
        <w:rPr>
          <w:rFonts w:ascii="宋体" w:hAnsi="宋体" w:eastAsia="宋体" w:cs="宋体"/>
          <w:sz w:val="24"/>
          <w:szCs w:val="24"/>
          <w:highlight w:val="none"/>
        </w:rPr>
        <w:t>18</w:t>
      </w:r>
      <w:r>
        <w:rPr>
          <w:rFonts w:hint="eastAsia" w:ascii="宋体" w:hAnsi="宋体" w:eastAsia="宋体" w:cs="宋体"/>
          <w:sz w:val="24"/>
          <w:szCs w:val="24"/>
          <w:highlight w:val="none"/>
        </w:rPr>
        <w:t>日</w:t>
      </w:r>
    </w:p>
    <w:p>
      <w:pPr>
        <w:spacing w:line="276" w:lineRule="auto"/>
        <w:ind w:left="-531" w:leftChars="-253" w:right="-781" w:rightChars="-372"/>
        <w:rPr>
          <w:rFonts w:ascii="宋体" w:hAnsi="宋体" w:eastAsia="宋体" w:cs="宋体"/>
          <w:sz w:val="24"/>
          <w:szCs w:val="24"/>
          <w:highlight w:val="none"/>
        </w:rPr>
      </w:pPr>
    </w:p>
    <w:p>
      <w:pPr>
        <w:spacing w:line="276" w:lineRule="auto"/>
        <w:rPr>
          <w:rFonts w:ascii="宋体" w:hAnsi="宋体" w:eastAsia="宋体" w:cs="宋体"/>
          <w:sz w:val="24"/>
          <w:szCs w:val="24"/>
          <w:highlight w:val="none"/>
        </w:rPr>
      </w:pPr>
    </w:p>
    <w:p>
      <w:pPr>
        <w:spacing w:line="276" w:lineRule="auto"/>
        <w:rPr>
          <w:rFonts w:ascii="宋体" w:hAnsi="宋体" w:eastAsia="宋体" w:cs="宋体"/>
          <w:sz w:val="24"/>
          <w:szCs w:val="24"/>
          <w:highlight w:val="none"/>
        </w:rPr>
      </w:pPr>
    </w:p>
    <w:p>
      <w:pPr>
        <w:spacing w:line="276" w:lineRule="auto"/>
        <w:rPr>
          <w:rFonts w:ascii="宋体" w:hAnsi="宋体" w:eastAsia="宋体" w:cs="宋体"/>
          <w:sz w:val="24"/>
          <w:szCs w:val="24"/>
          <w:highlight w:val="none"/>
        </w:rPr>
      </w:pPr>
    </w:p>
    <w:p>
      <w:pPr>
        <w:spacing w:line="276" w:lineRule="auto"/>
        <w:rPr>
          <w:rFonts w:ascii="宋体" w:hAnsi="宋体" w:eastAsia="宋体" w:cs="宋体"/>
          <w:sz w:val="24"/>
          <w:szCs w:val="24"/>
          <w:highlight w:val="none"/>
        </w:rPr>
      </w:pPr>
    </w:p>
    <w:p>
      <w:pPr>
        <w:spacing w:line="276" w:lineRule="auto"/>
        <w:rPr>
          <w:rFonts w:ascii="宋体" w:hAnsi="宋体" w:eastAsia="宋体" w:cs="宋体"/>
          <w:sz w:val="24"/>
          <w:szCs w:val="24"/>
          <w:highlight w:val="none"/>
        </w:rPr>
      </w:pPr>
    </w:p>
    <w:p>
      <w:pPr>
        <w:spacing w:line="276" w:lineRule="auto"/>
        <w:rPr>
          <w:rFonts w:ascii="宋体" w:hAnsi="宋体" w:eastAsia="宋体" w:cs="宋体"/>
          <w:sz w:val="24"/>
          <w:szCs w:val="24"/>
          <w:highlight w:val="none"/>
        </w:rPr>
      </w:pPr>
    </w:p>
    <w:p>
      <w:pPr>
        <w:spacing w:line="276" w:lineRule="auto"/>
        <w:rPr>
          <w:rFonts w:ascii="宋体" w:hAnsi="宋体" w:eastAsia="宋体" w:cs="宋体"/>
          <w:sz w:val="24"/>
          <w:szCs w:val="24"/>
          <w:highlight w:val="none"/>
        </w:rPr>
      </w:pPr>
    </w:p>
    <w:p>
      <w:pPr>
        <w:spacing w:line="276" w:lineRule="auto"/>
        <w:rPr>
          <w:rFonts w:ascii="宋体" w:hAnsi="宋体" w:eastAsia="宋体" w:cs="宋体"/>
          <w:sz w:val="24"/>
          <w:szCs w:val="24"/>
          <w:highlight w:val="none"/>
        </w:rPr>
      </w:pPr>
    </w:p>
    <w:p>
      <w:pPr>
        <w:spacing w:line="276" w:lineRule="auto"/>
        <w:rPr>
          <w:rFonts w:ascii="宋体" w:hAnsi="宋体" w:eastAsia="宋体" w:cs="宋体"/>
          <w:sz w:val="24"/>
          <w:szCs w:val="24"/>
          <w:highlight w:val="none"/>
        </w:rPr>
      </w:pPr>
    </w:p>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附件：</w:t>
      </w:r>
    </w:p>
    <w:p>
      <w:pPr>
        <w:ind w:firstLine="1205" w:firstLineChars="500"/>
        <w:rPr>
          <w:rFonts w:ascii="宋体" w:hAnsi="宋体" w:eastAsia="宋体" w:cs="宋体"/>
          <w:b/>
          <w:sz w:val="24"/>
          <w:szCs w:val="24"/>
          <w:highlight w:val="none"/>
        </w:rPr>
      </w:pPr>
    </w:p>
    <w:p>
      <w:pPr>
        <w:ind w:firstLine="1205" w:firstLineChars="500"/>
        <w:rPr>
          <w:rFonts w:ascii="宋体" w:hAnsi="宋体" w:eastAsia="宋体" w:cs="宋体"/>
          <w:b/>
          <w:sz w:val="24"/>
          <w:szCs w:val="24"/>
          <w:highlight w:val="none"/>
        </w:rPr>
      </w:pPr>
      <w:r>
        <w:rPr>
          <w:rFonts w:hint="eastAsia" w:ascii="宋体" w:hAnsi="宋体" w:eastAsia="宋体" w:cs="宋体"/>
          <w:b/>
          <w:sz w:val="24"/>
          <w:szCs w:val="24"/>
          <w:highlight w:val="none"/>
        </w:rPr>
        <w:t>四川外国语大学学生食堂联合经营管理合同（范本）</w:t>
      </w:r>
    </w:p>
    <w:p>
      <w:pPr>
        <w:spacing w:line="276" w:lineRule="auto"/>
        <w:rPr>
          <w:rFonts w:ascii="宋体" w:hAnsi="宋体" w:eastAsia="宋体" w:cs="宋体"/>
          <w:sz w:val="24"/>
          <w:szCs w:val="24"/>
          <w:highlight w:val="none"/>
        </w:rPr>
      </w:pPr>
    </w:p>
    <w:p>
      <w:pPr>
        <w:spacing w:line="276" w:lineRule="auto"/>
        <w:rPr>
          <w:rFonts w:ascii="宋体" w:hAnsi="宋体" w:eastAsia="宋体" w:cs="宋体"/>
          <w:b/>
          <w:bCs/>
          <w:sz w:val="24"/>
          <w:szCs w:val="24"/>
          <w:highlight w:val="none"/>
        </w:rPr>
      </w:pPr>
      <w:r>
        <w:rPr>
          <w:rFonts w:hint="eastAsia" w:ascii="宋体" w:hAnsi="宋体" w:eastAsia="宋体" w:cs="宋体"/>
          <w:b/>
          <w:bCs/>
          <w:sz w:val="24"/>
          <w:szCs w:val="24"/>
          <w:highlight w:val="none"/>
        </w:rPr>
        <w:t xml:space="preserve">甲方：四川外国语大学                                         </w:t>
      </w:r>
    </w:p>
    <w:p>
      <w:pPr>
        <w:spacing w:line="276" w:lineRule="auto"/>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 xml:space="preserve">乙方：                                                     </w:t>
      </w:r>
    </w:p>
    <w:p>
      <w:pPr>
        <w:spacing w:line="276" w:lineRule="auto"/>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 xml:space="preserve">乙方营业执照编号：                   组织机构代码证编号：          </w:t>
      </w:r>
    </w:p>
    <w:p>
      <w:pPr>
        <w:spacing w:line="276" w:lineRule="auto"/>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乙方法定代表人：                     身份证号码：</w:t>
      </w:r>
    </w:p>
    <w:p>
      <w:pPr>
        <w:spacing w:line="276" w:lineRule="auto"/>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乙方法定代表人授权委托人：           身份证号码：</w:t>
      </w:r>
    </w:p>
    <w:p>
      <w:pPr>
        <w:spacing w:line="276" w:lineRule="auto"/>
        <w:rPr>
          <w:rFonts w:ascii="宋体" w:hAnsi="宋体" w:eastAsia="宋体" w:cs="宋体"/>
          <w:sz w:val="24"/>
          <w:szCs w:val="24"/>
          <w:highlight w:val="none"/>
        </w:rPr>
      </w:pPr>
      <w:r>
        <w:rPr>
          <w:rFonts w:hint="eastAsia" w:ascii="宋体" w:hAnsi="宋体" w:eastAsia="宋体" w:cs="宋体"/>
          <w:sz w:val="24"/>
          <w:szCs w:val="24"/>
          <w:highlight w:val="none"/>
        </w:rPr>
        <w:t>　　　　　　　　　　　　　　　　　　　　　　　　　　　　　　</w:t>
      </w:r>
    </w:p>
    <w:p>
      <w:pPr>
        <w:spacing w:before="156" w:beforeLines="50" w:line="276" w:lineRule="auto"/>
        <w:ind w:firstLine="480" w:firstLineChars="200"/>
        <w:rPr>
          <w:rFonts w:ascii="宋体" w:hAnsi="宋体" w:eastAsia="宋体" w:cs="宋体"/>
          <w:kern w:val="0"/>
          <w:sz w:val="24"/>
          <w:szCs w:val="24"/>
          <w:highlight w:val="none"/>
        </w:rPr>
      </w:pPr>
      <w:r>
        <w:rPr>
          <w:rFonts w:hint="eastAsia" w:ascii="宋体" w:hAnsi="宋体" w:eastAsia="宋体" w:cs="宋体"/>
          <w:sz w:val="24"/>
          <w:szCs w:val="24"/>
          <w:highlight w:val="none"/>
        </w:rPr>
        <w:t>甲、乙双方根据《中华人民共和国民法典》</w:t>
      </w:r>
      <w:r>
        <w:rPr>
          <w:rFonts w:hint="eastAsia" w:ascii="宋体" w:hAnsi="宋体" w:eastAsia="宋体" w:cs="宋体"/>
          <w:kern w:val="0"/>
          <w:sz w:val="24"/>
          <w:szCs w:val="24"/>
          <w:highlight w:val="none"/>
        </w:rPr>
        <w:t>及有关法律法规规定，就学生食堂（以下简称食堂）联合经营管理的有关事宜达成如下合同并共同遵守。</w:t>
      </w:r>
    </w:p>
    <w:p>
      <w:pPr>
        <w:spacing w:before="156" w:beforeLines="50" w:line="276" w:lineRule="auto"/>
        <w:ind w:firstLine="482" w:firstLineChars="200"/>
        <w:jc w:val="center"/>
        <w:rPr>
          <w:rFonts w:ascii="宋体" w:hAnsi="宋体" w:eastAsia="宋体" w:cs="宋体"/>
          <w:b/>
          <w:sz w:val="24"/>
          <w:szCs w:val="24"/>
          <w:highlight w:val="none"/>
        </w:rPr>
      </w:pPr>
      <w:r>
        <w:rPr>
          <w:rFonts w:hint="eastAsia" w:ascii="宋体" w:hAnsi="宋体" w:eastAsia="宋体" w:cs="宋体"/>
          <w:b/>
          <w:sz w:val="24"/>
          <w:szCs w:val="24"/>
          <w:highlight w:val="none"/>
        </w:rPr>
        <w:t>第一部分  经营管理合同的基本内容</w:t>
      </w:r>
    </w:p>
    <w:p>
      <w:pPr>
        <w:spacing w:before="156" w:beforeLines="50" w:line="276" w:lineRule="auto"/>
        <w:ind w:firstLine="480" w:firstLineChars="200"/>
        <w:rPr>
          <w:rFonts w:ascii="宋体" w:hAnsi="宋体" w:eastAsia="宋体" w:cs="宋体"/>
          <w:sz w:val="24"/>
          <w:szCs w:val="24"/>
          <w:highlight w:val="none"/>
          <w:u w:val="single"/>
        </w:rPr>
      </w:pPr>
      <w:r>
        <w:rPr>
          <w:rFonts w:hint="eastAsia" w:ascii="宋体" w:hAnsi="宋体" w:eastAsia="宋体" w:cs="宋体"/>
          <w:bCs/>
          <w:kern w:val="0"/>
          <w:sz w:val="24"/>
          <w:szCs w:val="24"/>
          <w:highlight w:val="none"/>
        </w:rPr>
        <w:t xml:space="preserve">第一条 本合同约定甲方将 </w:t>
      </w:r>
      <w:r>
        <w:rPr>
          <w:rFonts w:hint="eastAsia" w:ascii="宋体" w:hAnsi="宋体" w:eastAsia="宋体" w:cs="宋体"/>
          <w:bCs/>
          <w:kern w:val="0"/>
          <w:sz w:val="24"/>
          <w:szCs w:val="24"/>
          <w:highlight w:val="none"/>
          <w:u w:val="single"/>
        </w:rPr>
        <w:t xml:space="preserve">       学生食堂 </w:t>
      </w:r>
      <w:r>
        <w:rPr>
          <w:rFonts w:hint="eastAsia" w:ascii="宋体" w:hAnsi="宋体" w:eastAsia="宋体" w:cs="宋体"/>
          <w:bCs/>
          <w:kern w:val="0"/>
          <w:sz w:val="24"/>
          <w:szCs w:val="24"/>
          <w:highlight w:val="none"/>
        </w:rPr>
        <w:t>交由乙方进行联合经营。</w:t>
      </w:r>
    </w:p>
    <w:p>
      <w:pPr>
        <w:spacing w:before="156" w:beforeLines="50" w:line="276" w:lineRule="auto"/>
        <w:ind w:right="-38" w:rightChars="-18" w:firstLine="480" w:firstLineChars="200"/>
        <w:rPr>
          <w:rFonts w:ascii="宋体" w:hAnsi="宋体" w:eastAsia="宋体" w:cs="宋体"/>
          <w:kern w:val="0"/>
          <w:sz w:val="24"/>
          <w:szCs w:val="24"/>
          <w:highlight w:val="none"/>
        </w:rPr>
      </w:pPr>
      <w:r>
        <w:rPr>
          <w:rFonts w:hint="eastAsia" w:ascii="宋体" w:hAnsi="宋体" w:eastAsia="宋体" w:cs="宋体"/>
          <w:bCs/>
          <w:kern w:val="0"/>
          <w:sz w:val="24"/>
          <w:szCs w:val="24"/>
          <w:highlight w:val="none"/>
        </w:rPr>
        <w:t>第二条 合同期限</w:t>
      </w:r>
      <w:r>
        <w:rPr>
          <w:rFonts w:hint="eastAsia" w:ascii="宋体" w:hAnsi="宋体" w:eastAsia="宋体" w:cs="宋体"/>
          <w:kern w:val="0"/>
          <w:sz w:val="24"/>
          <w:szCs w:val="24"/>
          <w:highlight w:val="none"/>
          <w:u w:val="single"/>
        </w:rPr>
        <w:t>：</w:t>
      </w:r>
      <w:r>
        <w:rPr>
          <w:rFonts w:hint="eastAsia" w:ascii="宋体" w:hAnsi="宋体" w:eastAsia="宋体" w:cs="宋体"/>
          <w:kern w:val="0"/>
          <w:sz w:val="24"/>
          <w:szCs w:val="24"/>
          <w:highlight w:val="none"/>
        </w:rPr>
        <w:t>从</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日起至</w:t>
      </w:r>
      <w:r>
        <w:rPr>
          <w:rFonts w:hint="eastAsia" w:ascii="宋体" w:hAnsi="宋体" w:eastAsia="宋体" w:cs="宋体"/>
          <w:kern w:val="0"/>
          <w:sz w:val="24"/>
          <w:szCs w:val="24"/>
          <w:highlight w:val="none"/>
          <w:u w:val="single"/>
        </w:rPr>
        <w:t>2</w:t>
      </w:r>
      <w:r>
        <w:rPr>
          <w:rFonts w:ascii="宋体" w:hAnsi="宋体" w:eastAsia="宋体" w:cs="宋体"/>
          <w:kern w:val="0"/>
          <w:sz w:val="24"/>
          <w:szCs w:val="24"/>
          <w:highlight w:val="none"/>
          <w:u w:val="single"/>
        </w:rPr>
        <w:t>030</w:t>
      </w:r>
      <w:r>
        <w:rPr>
          <w:rFonts w:hint="eastAsia" w:ascii="宋体" w:hAnsi="宋体" w:eastAsia="宋体" w:cs="宋体"/>
          <w:kern w:val="0"/>
          <w:sz w:val="24"/>
          <w:szCs w:val="24"/>
          <w:highlight w:val="none"/>
          <w:u w:val="single"/>
        </w:rPr>
        <w:t>年春季学期结束</w:t>
      </w:r>
      <w:r>
        <w:rPr>
          <w:rFonts w:hint="eastAsia" w:ascii="宋体" w:hAnsi="宋体" w:eastAsia="宋体" w:cs="宋体"/>
          <w:kern w:val="0"/>
          <w:sz w:val="24"/>
          <w:szCs w:val="24"/>
          <w:highlight w:val="none"/>
        </w:rPr>
        <w:t>。乙方承诺按照参竞文件概算金额对本合同约定的经营食堂进行环境设施改善和消防设施改善，并于</w:t>
      </w:r>
      <w:r>
        <w:rPr>
          <w:rFonts w:ascii="宋体" w:hAnsi="宋体" w:eastAsia="宋体" w:cs="宋体"/>
          <w:kern w:val="0"/>
          <w:sz w:val="24"/>
          <w:szCs w:val="24"/>
          <w:highlight w:val="none"/>
        </w:rPr>
        <w:t xml:space="preserve">   </w:t>
      </w:r>
      <w:r>
        <w:rPr>
          <w:rFonts w:hint="eastAsia" w:ascii="宋体" w:hAnsi="宋体" w:eastAsia="宋体" w:cs="宋体"/>
          <w:kern w:val="0"/>
          <w:sz w:val="24"/>
          <w:szCs w:val="24"/>
          <w:highlight w:val="none"/>
        </w:rPr>
        <w:t xml:space="preserve">年 </w:t>
      </w:r>
      <w:r>
        <w:rPr>
          <w:rFonts w:ascii="宋体" w:hAnsi="宋体" w:eastAsia="宋体" w:cs="宋体"/>
          <w:kern w:val="0"/>
          <w:sz w:val="24"/>
          <w:szCs w:val="24"/>
          <w:highlight w:val="none"/>
        </w:rPr>
        <w:t xml:space="preserve"> </w:t>
      </w:r>
      <w:r>
        <w:rPr>
          <w:rFonts w:hint="eastAsia" w:ascii="宋体" w:hAnsi="宋体" w:eastAsia="宋体" w:cs="宋体"/>
          <w:kern w:val="0"/>
          <w:sz w:val="24"/>
          <w:szCs w:val="24"/>
          <w:highlight w:val="none"/>
        </w:rPr>
        <w:t xml:space="preserve"> 月</w:t>
      </w:r>
      <w:r>
        <w:rPr>
          <w:rFonts w:ascii="宋体" w:hAnsi="宋体" w:eastAsia="宋体" w:cs="宋体"/>
          <w:kern w:val="0"/>
          <w:sz w:val="24"/>
          <w:szCs w:val="24"/>
          <w:highlight w:val="none"/>
        </w:rPr>
        <w:t xml:space="preserve">   </w:t>
      </w:r>
      <w:r>
        <w:rPr>
          <w:rFonts w:hint="eastAsia" w:ascii="宋体" w:hAnsi="宋体" w:eastAsia="宋体" w:cs="宋体"/>
          <w:kern w:val="0"/>
          <w:sz w:val="24"/>
          <w:szCs w:val="24"/>
          <w:highlight w:val="none"/>
        </w:rPr>
        <w:t>日前完成并投入使用，否则甲方有权将本合同提前终止，乙方应承担违约责任。</w:t>
      </w:r>
    </w:p>
    <w:p>
      <w:pPr>
        <w:spacing w:before="156" w:beforeLines="50" w:line="276" w:lineRule="auto"/>
        <w:ind w:firstLine="482" w:firstLineChars="200"/>
        <w:jc w:val="center"/>
        <w:rPr>
          <w:rFonts w:ascii="宋体" w:hAnsi="宋体" w:eastAsia="宋体" w:cs="宋体"/>
          <w:b/>
          <w:sz w:val="24"/>
          <w:szCs w:val="24"/>
          <w:highlight w:val="none"/>
        </w:rPr>
      </w:pPr>
      <w:r>
        <w:rPr>
          <w:rFonts w:hint="eastAsia" w:ascii="宋体" w:hAnsi="宋体" w:eastAsia="宋体" w:cs="宋体"/>
          <w:b/>
          <w:sz w:val="24"/>
          <w:szCs w:val="24"/>
          <w:highlight w:val="none"/>
        </w:rPr>
        <w:t>第二部分  相关费用</w:t>
      </w:r>
    </w:p>
    <w:p>
      <w:pPr>
        <w:spacing w:before="156" w:beforeLines="50" w:line="276" w:lineRule="auto"/>
        <w:ind w:firstLine="480" w:firstLineChars="20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第三条 甲方按照联合经营食堂当月营业额总和的</w:t>
      </w:r>
      <w:r>
        <w:rPr>
          <w:rFonts w:ascii="宋体" w:hAnsi="宋体" w:eastAsia="宋体" w:cs="宋体"/>
          <w:bCs/>
          <w:kern w:val="0"/>
          <w:sz w:val="24"/>
          <w:szCs w:val="24"/>
          <w:highlight w:val="none"/>
        </w:rPr>
        <w:t>3</w:t>
      </w:r>
      <w:r>
        <w:rPr>
          <w:rFonts w:hint="eastAsia" w:ascii="宋体" w:hAnsi="宋体" w:eastAsia="宋体" w:cs="宋体"/>
          <w:bCs/>
          <w:kern w:val="0"/>
          <w:sz w:val="24"/>
          <w:szCs w:val="24"/>
          <w:highlight w:val="none"/>
        </w:rPr>
        <w:t>%（</w:t>
      </w:r>
      <w:r>
        <w:rPr>
          <w:rFonts w:hint="eastAsia" w:ascii="宋体" w:hAnsi="宋体" w:eastAsia="宋体" w:cs="宋体"/>
          <w:sz w:val="24"/>
          <w:szCs w:val="24"/>
          <w:highlight w:val="none"/>
        </w:rPr>
        <w:t>税后净收</w:t>
      </w:r>
      <w:r>
        <w:rPr>
          <w:rFonts w:hint="eastAsia" w:ascii="宋体" w:hAnsi="宋体" w:eastAsia="宋体" w:cs="宋体"/>
          <w:bCs/>
          <w:kern w:val="0"/>
          <w:sz w:val="24"/>
          <w:szCs w:val="24"/>
          <w:highlight w:val="none"/>
        </w:rPr>
        <w:t>）计提考核费，每月结算暂存至甲方（四川外国语大学）计划财务处账上。根据考核结果，按对应考核等级予以返还。</w:t>
      </w:r>
    </w:p>
    <w:p>
      <w:pPr>
        <w:spacing w:before="156" w:beforeLines="50" w:line="276" w:lineRule="auto"/>
        <w:ind w:firstLine="480" w:firstLineChars="20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乙方的所有经营收入均需按照一卡通的方式纳入总账，不得收入账外现金。乙方自行负责办理在高校食堂经营的免税手续，并向甲方提供乙方公司名称一致的结算开户行和账号，甲方将按此账号进行结算划转。</w:t>
      </w:r>
    </w:p>
    <w:p>
      <w:pPr>
        <w:spacing w:before="156" w:beforeLines="50" w:line="276" w:lineRule="auto"/>
        <w:ind w:firstLine="480" w:firstLineChars="20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第四条乙方承诺每月投入学生食堂劳动育人活动费，用于开展特色劳动育人、学生用餐减免优惠等相关活动，食堂劳动育人活动费不低于月营业额的</w:t>
      </w:r>
      <w:r>
        <w:rPr>
          <w:rFonts w:ascii="宋体" w:hAnsi="宋体" w:eastAsia="宋体" w:cs="宋体"/>
          <w:bCs/>
          <w:kern w:val="0"/>
          <w:sz w:val="24"/>
          <w:szCs w:val="24"/>
          <w:highlight w:val="none"/>
        </w:rPr>
        <w:t>2%</w:t>
      </w:r>
      <w:r>
        <w:rPr>
          <w:rFonts w:hint="eastAsia" w:ascii="宋体" w:hAnsi="宋体" w:eastAsia="宋体" w:cs="宋体"/>
          <w:bCs/>
          <w:kern w:val="0"/>
          <w:sz w:val="24"/>
          <w:szCs w:val="24"/>
          <w:highlight w:val="none"/>
        </w:rPr>
        <w:t>（</w:t>
      </w:r>
      <w:r>
        <w:rPr>
          <w:rFonts w:hint="eastAsia" w:ascii="宋体" w:hAnsi="宋体" w:eastAsia="宋体" w:cs="宋体"/>
          <w:sz w:val="24"/>
          <w:szCs w:val="24"/>
          <w:highlight w:val="none"/>
        </w:rPr>
        <w:t>税后净收</w:t>
      </w:r>
      <w:r>
        <w:rPr>
          <w:rFonts w:hint="eastAsia" w:ascii="宋体" w:hAnsi="宋体" w:eastAsia="宋体" w:cs="宋体"/>
          <w:bCs/>
          <w:kern w:val="0"/>
          <w:sz w:val="24"/>
          <w:szCs w:val="24"/>
          <w:highlight w:val="none"/>
        </w:rPr>
        <w:t>），</w:t>
      </w:r>
      <w:r>
        <w:rPr>
          <w:rFonts w:hint="eastAsia" w:ascii="宋体" w:hAnsi="宋体" w:eastAsia="宋体" w:cs="宋体"/>
          <w:kern w:val="0"/>
          <w:sz w:val="24"/>
          <w:szCs w:val="24"/>
          <w:highlight w:val="none"/>
        </w:rPr>
        <w:t>计算时间为</w:t>
      </w:r>
      <w:r>
        <w:rPr>
          <w:rFonts w:hint="eastAsia" w:ascii="宋体" w:hAnsi="宋体" w:eastAsia="宋体" w:cs="宋体"/>
          <w:bCs/>
          <w:kern w:val="0"/>
          <w:sz w:val="24"/>
          <w:szCs w:val="24"/>
          <w:highlight w:val="none"/>
        </w:rPr>
        <w:t>次月的</w:t>
      </w:r>
      <w:r>
        <w:rPr>
          <w:rFonts w:hint="eastAsia" w:ascii="宋体" w:hAnsi="宋体" w:eastAsia="宋体" w:cs="宋体"/>
          <w:kern w:val="0"/>
          <w:sz w:val="24"/>
          <w:szCs w:val="24"/>
          <w:highlight w:val="none"/>
          <w:u w:val="single"/>
        </w:rPr>
        <w:t xml:space="preserve"> </w:t>
      </w:r>
      <w:r>
        <w:rPr>
          <w:rFonts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日，</w:t>
      </w:r>
      <w:r>
        <w:rPr>
          <w:rFonts w:hint="eastAsia" w:ascii="宋体" w:hAnsi="宋体" w:eastAsia="宋体" w:cs="宋体"/>
          <w:bCs/>
          <w:kern w:val="0"/>
          <w:sz w:val="24"/>
          <w:szCs w:val="24"/>
          <w:highlight w:val="none"/>
        </w:rPr>
        <w:t>甲方每月对开展特色劳动育人、学生用餐减免优惠等相关活动的投入费用进行审核，总金额未能达到此标准的将处以日常考核扣分，不足额度将在次月营业款中扣除，并用于相关学生活动开支。</w:t>
      </w:r>
    </w:p>
    <w:p>
      <w:pPr>
        <w:spacing w:before="156" w:beforeLines="50" w:line="276" w:lineRule="auto"/>
        <w:ind w:firstLine="480" w:firstLineChars="20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第五条 乙方每月按照营业收入的3‰向甲方缴纳校园</w:t>
      </w:r>
      <w:r>
        <w:rPr>
          <w:rFonts w:ascii="宋体" w:hAnsi="宋体" w:eastAsia="宋体" w:cs="宋体"/>
          <w:bCs/>
          <w:kern w:val="0"/>
          <w:sz w:val="24"/>
          <w:szCs w:val="24"/>
          <w:highlight w:val="none"/>
        </w:rPr>
        <w:t>一卡通使用维护费用</w:t>
      </w:r>
      <w:r>
        <w:rPr>
          <w:rFonts w:hint="eastAsia" w:ascii="宋体" w:hAnsi="宋体" w:eastAsia="宋体" w:cs="宋体"/>
          <w:bCs/>
          <w:kern w:val="0"/>
          <w:sz w:val="24"/>
          <w:szCs w:val="24"/>
          <w:highlight w:val="none"/>
        </w:rPr>
        <w:t>，并按照学校相关管理规定使用校园一卡通系统设备</w:t>
      </w:r>
      <w:r>
        <w:rPr>
          <w:rFonts w:ascii="宋体" w:hAnsi="宋体" w:eastAsia="宋体" w:cs="宋体"/>
          <w:bCs/>
          <w:kern w:val="0"/>
          <w:sz w:val="24"/>
          <w:szCs w:val="24"/>
          <w:highlight w:val="none"/>
        </w:rPr>
        <w:t>。</w:t>
      </w:r>
    </w:p>
    <w:p>
      <w:pPr>
        <w:spacing w:before="156" w:beforeLines="50" w:line="276" w:lineRule="auto"/>
        <w:ind w:firstLine="480" w:firstLineChars="20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第六条 乙方必须于</w:t>
      </w:r>
      <w:r>
        <w:rPr>
          <w:rFonts w:hint="eastAsia" w:ascii="宋体" w:hAnsi="宋体" w:eastAsia="宋体" w:cs="宋体"/>
          <w:bCs/>
          <w:kern w:val="0"/>
          <w:sz w:val="24"/>
          <w:szCs w:val="24"/>
          <w:highlight w:val="none"/>
          <w:u w:val="single"/>
        </w:rPr>
        <w:t xml:space="preserve">   年</w:t>
      </w:r>
      <w:r>
        <w:rPr>
          <w:rFonts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u w:val="single"/>
        </w:rPr>
        <w:t>月份</w:t>
      </w:r>
      <w:r>
        <w:rPr>
          <w:rFonts w:hint="eastAsia" w:ascii="宋体" w:hAnsi="宋体" w:eastAsia="宋体" w:cs="宋体"/>
          <w:bCs/>
          <w:kern w:val="0"/>
          <w:sz w:val="24"/>
          <w:szCs w:val="24"/>
          <w:highlight w:val="none"/>
        </w:rPr>
        <w:t>前的一次性投入不低于</w:t>
      </w:r>
      <w:r>
        <w:rPr>
          <w:rFonts w:hint="eastAsia"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rPr>
        <w:t>万元（大写        ），用于学生食堂环境改善和食堂的消防设施改善；乙方须在合同签订前甲</w:t>
      </w:r>
      <w:r>
        <w:rPr>
          <w:rFonts w:ascii="宋体" w:hAnsi="宋体" w:eastAsia="宋体" w:cs="宋体"/>
          <w:bCs/>
          <w:kern w:val="0"/>
          <w:sz w:val="24"/>
          <w:szCs w:val="24"/>
          <w:highlight w:val="none"/>
        </w:rPr>
        <w:t>方缴纳10万元的环境改善保证金</w:t>
      </w:r>
      <w:r>
        <w:rPr>
          <w:rFonts w:hint="eastAsia" w:ascii="宋体" w:hAnsi="宋体" w:eastAsia="宋体" w:cs="宋体"/>
          <w:bCs/>
          <w:kern w:val="0"/>
          <w:sz w:val="24"/>
          <w:szCs w:val="24"/>
          <w:highlight w:val="none"/>
        </w:rPr>
        <w:t xml:space="preserve">，以确保环境改善按期、按质进行，乙方按照《四川外国语大学东校区学生食堂联合经营项目文件》（以下简称食堂联合经营项目文件）相关规定 缴纳环境改善保证金，如未按期缴纳，视为放弃联合经营资格，本合同不成立。 </w:t>
      </w:r>
    </w:p>
    <w:p>
      <w:pPr>
        <w:spacing w:before="156" w:beforeLines="50" w:line="276" w:lineRule="auto"/>
        <w:ind w:firstLine="480" w:firstLineChars="20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乙方承诺的环境改善期截止日期为</w:t>
      </w:r>
      <w:r>
        <w:rPr>
          <w:rFonts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u w:val="single"/>
        </w:rPr>
        <w:t>年</w:t>
      </w:r>
      <w:r>
        <w:rPr>
          <w:rFonts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u w:val="single"/>
        </w:rPr>
        <w:t>月</w:t>
      </w:r>
      <w:r>
        <w:rPr>
          <w:rFonts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u w:val="single"/>
        </w:rPr>
        <w:t>日</w:t>
      </w:r>
      <w:r>
        <w:rPr>
          <w:rFonts w:hint="eastAsia" w:ascii="宋体" w:hAnsi="宋体" w:eastAsia="宋体" w:cs="宋体"/>
          <w:bCs/>
          <w:kern w:val="0"/>
          <w:sz w:val="24"/>
          <w:szCs w:val="24"/>
          <w:highlight w:val="none"/>
        </w:rPr>
        <w:t>，在此日期后，甲方将依照食堂联合经营项目文件中对环境改善投入资金审计办法，对乙方投入的食堂环境改善费用进行审计，如实际投入资金低于乙方在参竞时承诺的环境改善投入资金，乙方须根据甲方的改造意见限期补齐投入差额或者乙方用现金方式向甲方补缴投入差额，用于食堂进一步环境改造与美化改造。如不履行，甲方有权取消乙方的经营权，环境改善保证金不予退回，乙方的所有投入费用不能请求赔偿、补偿，责任由乙方全部承担。</w:t>
      </w:r>
    </w:p>
    <w:p>
      <w:pPr>
        <w:spacing w:before="156" w:beforeLines="50" w:line="276" w:lineRule="auto"/>
        <w:ind w:firstLine="480" w:firstLineChars="20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第七条 乙方应当按照甲方或甲方委托的物业管理等部门的收费标准、收费时间缴纳相应的包括但不限于水电气费、垃圾清运费、物业费等应当由乙方承担的相关费用。其中水电气费按照重庆市规定的居民用的标准缴费，其他费用按照上级主管部门和学校规定的标准收取。</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bCs/>
          <w:kern w:val="0"/>
          <w:sz w:val="24"/>
          <w:szCs w:val="24"/>
          <w:highlight w:val="none"/>
        </w:rPr>
        <w:t>甲方现有食堂固定资产设备应作为联合经营成本，以有偿方式提供给乙方使用，设备最终清单由乙方与甲方资产管理部门清点并确定正常使用后，由乙方与甲方资产管理部门签订补充协议，约定具体的有偿使用方案。</w:t>
      </w:r>
      <w:r>
        <w:rPr>
          <w:rFonts w:hint="eastAsia" w:ascii="宋体" w:hAnsi="宋体" w:eastAsia="宋体" w:cs="宋体"/>
          <w:kern w:val="0"/>
          <w:sz w:val="24"/>
          <w:szCs w:val="24"/>
          <w:highlight w:val="none"/>
        </w:rPr>
        <w:t>第八条 在合同期内，如乙方未能按时足额交清第四条、第五条、第六条、第七条中约定的相关费用，乙方应承担违约责任并从应付之日起，每日按欠费总金额的</w:t>
      </w:r>
      <w:r>
        <w:rPr>
          <w:rFonts w:hint="eastAsia" w:ascii="宋体" w:hAnsi="宋体" w:eastAsia="宋体" w:cs="宋体"/>
          <w:bCs/>
          <w:kern w:val="0"/>
          <w:sz w:val="24"/>
          <w:szCs w:val="24"/>
          <w:highlight w:val="none"/>
        </w:rPr>
        <w:t>3‰</w:t>
      </w:r>
      <w:r>
        <w:rPr>
          <w:rFonts w:hint="eastAsia" w:ascii="宋体" w:hAnsi="宋体" w:eastAsia="宋体" w:cs="宋体"/>
          <w:kern w:val="0"/>
          <w:sz w:val="24"/>
          <w:szCs w:val="24"/>
          <w:highlight w:val="none"/>
        </w:rPr>
        <w:t>向甲方支付滞纳金。</w:t>
      </w:r>
    </w:p>
    <w:p>
      <w:pPr>
        <w:spacing w:before="50" w:line="276" w:lineRule="auto"/>
        <w:ind w:firstLine="518" w:firstLineChars="216"/>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第九条 乙方在签订本合同前，应当向甲方一次性缴纳人民币</w:t>
      </w:r>
      <w:r>
        <w:rPr>
          <w:rFonts w:hint="eastAsia" w:ascii="宋体" w:hAnsi="宋体" w:eastAsia="宋体" w:cs="宋体"/>
          <w:kern w:val="0"/>
          <w:sz w:val="24"/>
          <w:szCs w:val="24"/>
          <w:highlight w:val="none"/>
          <w:u w:val="single"/>
        </w:rPr>
        <w:t xml:space="preserve"> </w:t>
      </w:r>
      <w:r>
        <w:rPr>
          <w:rFonts w:ascii="宋体" w:hAnsi="宋体" w:eastAsia="宋体" w:cs="宋体"/>
          <w:kern w:val="0"/>
          <w:sz w:val="24"/>
          <w:szCs w:val="24"/>
          <w:highlight w:val="none"/>
          <w:u w:val="single"/>
        </w:rPr>
        <w:t>150</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万元（大写</w:t>
      </w:r>
      <w:r>
        <w:rPr>
          <w:rFonts w:hint="eastAsia" w:ascii="宋体" w:hAnsi="宋体" w:eastAsia="宋体" w:cs="宋体"/>
          <w:kern w:val="0"/>
          <w:sz w:val="24"/>
          <w:szCs w:val="24"/>
          <w:highlight w:val="none"/>
          <w:u w:val="single"/>
        </w:rPr>
        <w:t xml:space="preserve"> 壹佰伍拾 </w:t>
      </w:r>
      <w:r>
        <w:rPr>
          <w:rFonts w:hint="eastAsia" w:ascii="宋体" w:hAnsi="宋体" w:eastAsia="宋体" w:cs="宋体"/>
          <w:kern w:val="0"/>
          <w:sz w:val="24"/>
          <w:szCs w:val="24"/>
          <w:highlight w:val="none"/>
        </w:rPr>
        <w:t>万元整）作为经营食堂的履约保证金。该履约保证金作为房屋及设施设备洁净、完好的基本保证以及按时存入考核费、涉及学生育人活动和学生用餐减免优惠费用等，乙方不违反本合同约定的保证。合同期内，应由乙方缴纳的考核费、滞纳金、违约金及其它费用逾期未缴纳时，甲方有权从乙方的营业款中扣除，营业款不足时，甲方有权从履约保证金中扣除。如乙方未违反本合同的约定时，</w:t>
      </w:r>
      <w:r>
        <w:rPr>
          <w:rFonts w:hint="eastAsia" w:ascii="宋体" w:hAnsi="宋体" w:eastAsia="宋体" w:cs="宋体"/>
          <w:sz w:val="24"/>
          <w:szCs w:val="24"/>
          <w:highlight w:val="none"/>
        </w:rPr>
        <w:t>在</w:t>
      </w:r>
      <w:r>
        <w:rPr>
          <w:rFonts w:hint="eastAsia" w:ascii="宋体" w:hAnsi="宋体" w:eastAsia="宋体" w:cs="宋体"/>
          <w:kern w:val="0"/>
          <w:sz w:val="24"/>
          <w:szCs w:val="24"/>
          <w:highlight w:val="none"/>
        </w:rPr>
        <w:t>合同期满且处理完合同期内发生的劳动、劳务纠纷等遗留问题并按期撤场后由甲方退还乙方履约保证金，履约保证金不计利息。</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第十条 合同存续期间，食堂的照明灯具、桌椅、厨具等，食堂内的固定资产设备和其他设施设备的日常维修费用由乙方自行承担。</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第十一条 乙方办理工商、税务、卫生许可证等相关证照，所产生的费用由乙方自行承担。</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第十二条 乙方经营管理所聘用员工的所有费用均由乙方自行承担。</w:t>
      </w:r>
    </w:p>
    <w:p>
      <w:pPr>
        <w:spacing w:before="50" w:line="276" w:lineRule="auto"/>
        <w:ind w:firstLine="480" w:firstLineChars="200"/>
        <w:rPr>
          <w:rFonts w:ascii="宋体" w:hAnsi="宋体" w:eastAsia="宋体" w:cs="宋体"/>
          <w:kern w:val="0"/>
          <w:sz w:val="24"/>
          <w:szCs w:val="24"/>
          <w:highlight w:val="none"/>
        </w:rPr>
      </w:pPr>
    </w:p>
    <w:p>
      <w:pPr>
        <w:spacing w:before="156" w:beforeLines="50" w:line="276"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第三部分  考核管理及相关责任</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第十三条 按照错位经营的原则，乙方的经营范围主要为基本大伙套餐和特色风味菜品，乙方应承诺做到以下几点：</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（1）乙方应保证在食堂设置符合中老年人饮食习惯的</w:t>
      </w:r>
      <w:r>
        <w:rPr>
          <w:rFonts w:ascii="宋体" w:hAnsi="宋体" w:eastAsia="宋体" w:cs="宋体"/>
          <w:kern w:val="0"/>
          <w:sz w:val="24"/>
          <w:szCs w:val="24"/>
          <w:highlight w:val="none"/>
        </w:rPr>
        <w:t>“社区食堂窗口”</w:t>
      </w:r>
      <w:r>
        <w:rPr>
          <w:rFonts w:hint="eastAsia" w:ascii="宋体" w:hAnsi="宋体" w:eastAsia="宋体" w:cs="宋体"/>
          <w:kern w:val="0"/>
          <w:sz w:val="24"/>
          <w:szCs w:val="24"/>
          <w:highlight w:val="none"/>
        </w:rPr>
        <w:t>；</w:t>
      </w:r>
      <w:r>
        <w:rPr>
          <w:rFonts w:ascii="宋体" w:hAnsi="宋体" w:eastAsia="宋体" w:cs="宋体"/>
          <w:kern w:val="0"/>
          <w:sz w:val="24"/>
          <w:szCs w:val="24"/>
          <w:highlight w:val="none"/>
        </w:rPr>
        <w:t>保证有一个面积大小合理、窗口独立的民族特色窗口；</w:t>
      </w:r>
      <w:r>
        <w:rPr>
          <w:rFonts w:hint="eastAsia" w:ascii="宋体" w:hAnsi="宋体" w:eastAsia="宋体" w:cs="宋体"/>
          <w:kern w:val="0"/>
          <w:sz w:val="24"/>
          <w:szCs w:val="24"/>
          <w:highlight w:val="none"/>
        </w:rPr>
        <w:t>保证</w:t>
      </w:r>
      <w:r>
        <w:rPr>
          <w:rFonts w:ascii="宋体" w:hAnsi="宋体" w:eastAsia="宋体" w:cs="宋体"/>
          <w:kern w:val="0"/>
          <w:sz w:val="24"/>
          <w:szCs w:val="24"/>
          <w:highlight w:val="none"/>
        </w:rPr>
        <w:t>设置“三全育人区”（即劳动育人区），总面积不低于240 m²。</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（2）为满足师生更高层次的餐饮需求，乙方所有经营品种的确定、新增和变更必须经过后勤基建管理处膳食科同意后方可执行。</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3）乙方不得从事餐饮以外的其它业务（包括不经营超市等），不得经营超出自身经营条件的餐饮项目（食堂不得售卖海鲜。若没有凉菜制作条件，则不得经营凉菜项目）。乙方在规定范围内的经营必须符合相关部门规定的各项标准，否则甲方有权参照相关部门的处罚标准给予乙方违约处罚。</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第十四条 乙方承诺食堂月投料率不得低于5</w:t>
      </w:r>
      <w:r>
        <w:rPr>
          <w:rFonts w:ascii="宋体" w:hAnsi="宋体" w:eastAsia="宋体" w:cs="宋体"/>
          <w:kern w:val="0"/>
          <w:sz w:val="24"/>
          <w:szCs w:val="24"/>
          <w:highlight w:val="none"/>
        </w:rPr>
        <w:t>0%</w:t>
      </w:r>
      <w:r>
        <w:rPr>
          <w:rFonts w:hint="eastAsia" w:ascii="宋体" w:hAnsi="宋体" w:eastAsia="宋体" w:cs="宋体"/>
          <w:kern w:val="0"/>
          <w:sz w:val="24"/>
          <w:szCs w:val="24"/>
          <w:highlight w:val="none"/>
        </w:rPr>
        <w:t>，基本大伙餐价格折扣率、基本大伙餐投料率、基本大伙餐菜品的品类数量、品质、份量等必须严格按照参竞文件中乙方所承诺的具体标准进行经营，如发现未达到相应标准的情况，则按照违约处理，视情况扣除履约保证金。</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第十五条乙方的经营时间为全年营业，每天为</w:t>
      </w:r>
      <w:r>
        <w:rPr>
          <w:rFonts w:hint="eastAsia" w:ascii="宋体" w:hAnsi="宋体" w:eastAsia="宋体" w:cs="宋体"/>
          <w:kern w:val="0"/>
          <w:sz w:val="24"/>
          <w:szCs w:val="24"/>
          <w:highlight w:val="none"/>
          <w:u w:val="single"/>
        </w:rPr>
        <w:t>6：00</w:t>
      </w:r>
      <w:r>
        <w:rPr>
          <w:rFonts w:hint="eastAsia" w:ascii="宋体" w:hAnsi="宋体" w:eastAsia="宋体" w:cs="宋体"/>
          <w:kern w:val="0"/>
          <w:sz w:val="24"/>
          <w:szCs w:val="24"/>
          <w:highlight w:val="none"/>
        </w:rPr>
        <w:t>至</w:t>
      </w:r>
      <w:r>
        <w:rPr>
          <w:rFonts w:hint="eastAsia" w:ascii="宋体" w:hAnsi="宋体" w:eastAsia="宋体" w:cs="宋体"/>
          <w:kern w:val="0"/>
          <w:sz w:val="24"/>
          <w:szCs w:val="24"/>
          <w:highlight w:val="none"/>
          <w:u w:val="single"/>
        </w:rPr>
        <w:t>23：00</w:t>
      </w:r>
      <w:r>
        <w:rPr>
          <w:rFonts w:hint="eastAsia" w:ascii="宋体" w:hAnsi="宋体" w:eastAsia="宋体" w:cs="宋体"/>
          <w:kern w:val="0"/>
          <w:sz w:val="24"/>
          <w:szCs w:val="24"/>
          <w:highlight w:val="none"/>
        </w:rPr>
        <w:t>，其中学校寒暑假期和国家法定节假日期间的营业档口不少于</w:t>
      </w:r>
      <w:r>
        <w:rPr>
          <w:rFonts w:hint="eastAsia" w:ascii="宋体" w:hAnsi="宋体" w:eastAsia="宋体" w:cs="宋体"/>
          <w:bCs/>
          <w:kern w:val="0"/>
          <w:sz w:val="24"/>
          <w:szCs w:val="24"/>
          <w:highlight w:val="none"/>
          <w:u w:val="single"/>
        </w:rPr>
        <w:t xml:space="preserve"> 3 个</w:t>
      </w:r>
      <w:r>
        <w:rPr>
          <w:rFonts w:hint="eastAsia" w:ascii="宋体" w:hAnsi="宋体" w:eastAsia="宋体" w:cs="宋体"/>
          <w:kern w:val="0"/>
          <w:sz w:val="24"/>
          <w:szCs w:val="24"/>
          <w:highlight w:val="none"/>
        </w:rPr>
        <w:t>。经营区域仅限于联合经营场地之内，不得外出售卖食品，不得外出送餐。乙方在清晨和夜间经营的时候不能有太大噪音等影响周边师生休息的情况发生，否则甲方有权按照每项每次伍佰元至壹万元的标准给予乙方违约处罚。</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乙方的经营必须遵守国家、地方制定的《食品安全法》等法律法规以及上级主管部门和学校制定的相应规章制度。乙方如有违反，因此产生的罚款等费用全部由乙方自行承担，甲方还可以在此基础上给予相应的经济处罚。</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第十六条 乙方独立经营、自负盈亏、独立承担经营风险，同时承担经营过程中的食品卫生安全、人身安全、财产安全等全部责任。乙方必须严格遵守食品卫生规定和要求，保证食品卫生，杜绝食物中毒发生。认真贯彻《中华人民共和国食品安全法》，须按照学校要求定期组织员工培训《中华人民共和国食品安全法》，把好饮食卫生“四关”、“三白”、“二消毒”、“—留样”。四关，即进货关、拣洗关、烹饪关和消毒关；三白，即窗口和加工操作人员要穿戴好帽子、口罩和工作服；二消毒，即洗手消毒和抹布消毒；一留样，即熟食留样记录。食品和环境卫生，必须达到国家食品药品监督管理总局和学校检查的标准和要求。乙方必须加强防火、防盗、防恐怖投毒、防霉变、防食物中毒、防过期食品、防疾病传染工作，承担“六防”工作不力的所有责任。认真落实天然气、电力、机械设备、食品采购进货、库房保管等的管理责任，扎扎实实地进行餐具消毒工作，杜绝偷盗、投毒和食物中毒事件的发生。尤其要落实操作间进出人员的管理，做好防恐工作。</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第十七条 未经甲方书面同意，乙方不得将食堂全部或者部分转租、转借或其他任意形式转交给任何单位或个人进行经营。否则甲方有权按照每次伍万元的标准给予乙方违约处罚。</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第十八条 乙方必须使用甲方提供的一卡通消费刷卡系统，乙方的任何一个售卖窗口不能直接收取现金或转账，否则经查实后甲方有权按照每次壹万元标准给予乙方违约处罚。若当月发现3次以上收取现金没有入帐的情况，则扣除当月营业额的50%作为违约金。</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第十九条 </w:t>
      </w:r>
      <w:r>
        <w:rPr>
          <w:rFonts w:hint="eastAsia" w:ascii="宋体" w:hAnsi="宋体" w:eastAsia="宋体" w:cs="宋体"/>
          <w:sz w:val="24"/>
          <w:szCs w:val="24"/>
          <w:highlight w:val="none"/>
        </w:rPr>
        <w:t>为保证师生员工正常用餐，乙方应当于早、中、晚三餐用餐人数较为集中时开足服务窗口，缩短师生等候时间。乙方必须按甲方规定的作息制度做好就餐保障工作，遇特殊情况（包括接待任务等）应予以配合供餐或延时供餐，保障师生员工就餐。同时，不但要保障法定节假日期间的饭菜供应，而且还要提供丰富的饭菜食品，营造喜庆祥和的节假日氛围。</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第二十条 乙方应当制定较为完善的员工管理办法和制度并在食堂内的醒目位置张贴，接受甲方及师生的监督。如有违反，甲方可按照每次伍佰元的标准视其情形给予乙方违约处罚。</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第二十一条 乙方应当保持经营菜品价格的稳定。乙方经营的特色餐饮菜品在同质同量同品种的前提下，定价应低于周边市场价格的</w:t>
      </w:r>
      <w:r>
        <w:rPr>
          <w:rFonts w:ascii="宋体" w:hAnsi="宋体" w:eastAsia="宋体" w:cs="宋体"/>
          <w:kern w:val="0"/>
          <w:sz w:val="24"/>
          <w:szCs w:val="24"/>
          <w:highlight w:val="none"/>
        </w:rPr>
        <w:t>8.5折</w:t>
      </w:r>
      <w:r>
        <w:rPr>
          <w:rFonts w:hint="eastAsia" w:ascii="宋体" w:hAnsi="宋体" w:eastAsia="宋体" w:cs="宋体"/>
          <w:kern w:val="0"/>
          <w:sz w:val="24"/>
          <w:szCs w:val="24"/>
          <w:highlight w:val="none"/>
        </w:rPr>
        <w:t>，每个窗口要有“无利”菜品；乙方经营的大伙基础餐的菜品价格必须符合食堂联合经营项目文件中的具体要求和乙方参竞文件中所提供的菜品样式等。乙方所有菜品价格的确定和调整均需提前报审甲方并取得书面同意，否则，甲方可以按照每一菜品每次伍仟元的标准给予违约处罚。</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第二十二条  乙方应当提高餐饮服务质量。做好菜品的花色品种齐全、营养搭配合理；采取保温措施，确保饭菜温度；提高服务人员的服务意识、增强服务技能，不断提升服务质量和师生满意度。</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第二十三条 乙方必须以食品质量与卫生管理为核心环节，确保食品原材料质量，所需的米、面、油、肉等所有原材料坚持索证制度并建立健全台账。否则，甲方可以对乙方每违规采购一次给予壹万元的违约处罚。肉类采购的鲜货与冻货的比例须严格控制在科学合理的范围内，冻货占比不得过大，乙方必须及时根据甲方师生的诉求进行调整。如拒绝整改或整改不力，情况严重者，乙方须无条件接受甲方对乙方原材料进行统一采购。</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第二十四条 甲方提供的食堂内消费刷卡系统的维护、充值等工作由甲方全部负责，乙方可于次月的中旬（遇周末或节假日则顺延）前到甲方指定的管理部门结算上月的刷卡消费款项。结算前，甲方有权在乙方的刷卡消费款项中直接扣除本合同约定的、应当由乙方承担的事故赔偿金额或其他违约处罚金。如果乙方当月的刷卡消费款不足以支付当月应当承担的违约金时，甲方可以选择在乙方缴纳的履约保证金中扣取，也可以选择在乙方下一月或几月的刷卡消费款中扣取。乙方缴纳的履约保证金被扣取后不足约定金额时，甲方可以直接在乙方的刷卡消费款中扣取不足的部分。乙方违约赔偿或事故责任赔偿事宜处理完善前不得结算。</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第二十五条 乙方的环境改善方案必须经甲方书面同意后方可进行，消防改善方案必须符合高校食堂的消防管理要求，并通过消防安全合格验收，否则甲方有权要求乙方立即恢复原貌，并且给予伍万元的违约处罚。乙方因环境设施改善和消防设施改善产生的全部费用均由乙方自行承担。</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sz w:val="24"/>
          <w:szCs w:val="24"/>
          <w:highlight w:val="none"/>
        </w:rPr>
        <w:t>乙方建设智慧食堂的标准，要食堂联合经营项目文件中的相关要求，并达到参竞文件中承诺的相关建设内容，如未达到相关建设要求，按照违约处理，视情况扣除履约保证金。</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第二十六条 合同期满或经营期内解除合同时，乙方须按照甲方通知的时间立即停止经营，返还甲方的设施、设备，并在合同期满之日（或解除合同之日）起七天（自然天数）内撤场（内容包括将乙方所属物品、设施等全部搬离食堂，完成食堂内的清洁工作、保持场内原有设施设备的原状以及装修附属物的完好等），乙方逾期未撤场，甲方将扣除乙方全部履约保证金壹佰五十万元，所有场内物资设备视为乙方放弃其所有权，由甲方按无主进行处理，由此导致的一切经济损失和社会影响由乙方全权负责。</w:t>
      </w:r>
    </w:p>
    <w:p>
      <w:pPr>
        <w:spacing w:before="50" w:line="276" w:lineRule="auto"/>
        <w:ind w:firstLine="480" w:firstLineChars="200"/>
        <w:rPr>
          <w:rFonts w:ascii="宋体" w:hAnsi="宋体" w:eastAsia="宋体" w:cs="宋体"/>
          <w:sz w:val="24"/>
          <w:szCs w:val="24"/>
          <w:highlight w:val="none"/>
        </w:rPr>
      </w:pPr>
      <w:r>
        <w:rPr>
          <w:rFonts w:hint="eastAsia" w:ascii="宋体" w:hAnsi="宋体" w:eastAsia="宋体" w:cs="宋体"/>
          <w:kern w:val="0"/>
          <w:sz w:val="24"/>
          <w:szCs w:val="24"/>
          <w:highlight w:val="none"/>
        </w:rPr>
        <w:t xml:space="preserve">第二十七条 </w:t>
      </w:r>
      <w:r>
        <w:rPr>
          <w:rFonts w:hint="eastAsia" w:ascii="宋体" w:hAnsi="宋体" w:eastAsia="宋体" w:cs="宋体"/>
          <w:sz w:val="24"/>
          <w:szCs w:val="24"/>
          <w:highlight w:val="none"/>
        </w:rPr>
        <w:t>无论是在经营期之内或经营期之外，乙方均不得以甲方的名义对外进行任何形式的借贷等经济往来活动和其它性质的活动。如乙方在经营过程中发生质量事故、安全事故等问题时，由乙方全权负责对外赔偿。如因乙方原因产生法律纠纷而第三人请求甲方赔偿时，甲方承担赔偿责任后，甲方有权向乙方追偿，由此所产生的一切费用包括但不限于诉讼费、律师费、差旅费等均由乙方承担。</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第二十八条 乙方不得以甲方的名义聘用人员，乙方因经营需要自行聘用的人员应符合从事饮食业人员的健康标准，并接受甲方监督。乙方从业人员，必须“两证”(即身份证、健康证)齐全，并到甲方食堂管理部门办理登记备案。乙方聘用人员的劳动关系、劳动权益、工资福利等全部由乙方负责。在本合同存续期间及合同解除后，甲方均不承担乙方聘用员工的一切事宜。</w:t>
      </w:r>
    </w:p>
    <w:p>
      <w:pPr>
        <w:spacing w:before="50"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第二十九条 乙方应当正确使用并妥善保管甲方提供的各类资产，乙方应保证资产不流失，并做好相应的维修维护和保养工作，若有损坏或丢失，由乙方负责维修或赔偿。在经营过程中，</w:t>
      </w:r>
      <w:r>
        <w:rPr>
          <w:rFonts w:hint="eastAsia" w:ascii="宋体" w:hAnsi="宋体" w:eastAsia="宋体" w:cs="宋体"/>
          <w:kern w:val="0"/>
          <w:sz w:val="24"/>
          <w:szCs w:val="24"/>
          <w:highlight w:val="none"/>
        </w:rPr>
        <w:t>食堂的设备、设施的维修、维护由乙方自行负责并承担相应费用。</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第三十条 乙方须按照相关规定，执行并达到“门前三包责任制”的相关要求。乙方必须按“创建国家卫生城市的标准”，认真做好食堂内外的环境卫生和除四害工作，做到经常性灭蚊蝇工作，灭鼠工作要根据学校统一安排每学期开展二次以上（每次灭鼠工作必须向甲方报方案，并经甲方同意后实施，做好安全工作）），环境卫生能够以优秀成绩通过教育行政部门、卫生执法部门的各种监督检查。</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第三十一条 乙方全面承担因经营管理不善而产生的一切后果，并负责因此给甲方造成的经济损失和其他不良影响。甲方对乙方的日常考核按照《四川外国语大学对社会企业参与学生食堂联合经营考核办法》、《四川外国语大学对社会企业参与学生食堂联合经营日常考核实施细则》。</w:t>
      </w:r>
    </w:p>
    <w:p>
      <w:pPr>
        <w:spacing w:before="50" w:line="276" w:lineRule="auto"/>
        <w:ind w:firstLine="480" w:firstLineChars="200"/>
        <w:rPr>
          <w:rFonts w:ascii="宋体" w:hAnsi="宋体" w:eastAsia="宋体" w:cs="宋体"/>
          <w:bCs/>
          <w:kern w:val="0"/>
          <w:sz w:val="24"/>
          <w:szCs w:val="24"/>
          <w:highlight w:val="none"/>
        </w:rPr>
      </w:pPr>
      <w:r>
        <w:rPr>
          <w:rFonts w:hint="eastAsia" w:ascii="宋体" w:hAnsi="宋体" w:eastAsia="宋体" w:cs="宋体"/>
          <w:sz w:val="24"/>
          <w:szCs w:val="24"/>
          <w:highlight w:val="none"/>
          <w:lang w:val="zh-CN"/>
        </w:rPr>
        <w:t>第三十二条</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乙方及乙方工作人员应遵守甲方相关规章制度；</w:t>
      </w:r>
      <w:r>
        <w:rPr>
          <w:rFonts w:hint="eastAsia" w:ascii="宋体" w:hAnsi="宋体" w:eastAsia="宋体" w:cs="宋体"/>
          <w:bCs/>
          <w:sz w:val="24"/>
          <w:szCs w:val="24"/>
          <w:highlight w:val="none"/>
          <w:lang w:val="zh-CN"/>
        </w:rPr>
        <w:t xml:space="preserve"> 因乙方或乙方工作人员原因给自身、甲方或第三方造成的一切人身、财产损害由乙方承担。</w:t>
      </w:r>
    </w:p>
    <w:p>
      <w:pPr>
        <w:spacing w:before="50" w:line="276" w:lineRule="auto"/>
        <w:ind w:firstLine="480" w:firstLineChars="200"/>
        <w:rPr>
          <w:rFonts w:ascii="宋体" w:hAnsi="宋体" w:eastAsia="宋体" w:cs="宋体"/>
          <w:bCs/>
          <w:kern w:val="0"/>
          <w:sz w:val="24"/>
          <w:szCs w:val="24"/>
          <w:highlight w:val="none"/>
        </w:rPr>
      </w:pPr>
    </w:p>
    <w:p>
      <w:pPr>
        <w:spacing w:before="50" w:line="276" w:lineRule="auto"/>
        <w:jc w:val="center"/>
        <w:rPr>
          <w:rFonts w:ascii="宋体" w:hAnsi="宋体" w:eastAsia="宋体" w:cs="宋体"/>
          <w:kern w:val="0"/>
          <w:sz w:val="24"/>
          <w:szCs w:val="24"/>
          <w:highlight w:val="none"/>
        </w:rPr>
      </w:pPr>
      <w:r>
        <w:rPr>
          <w:rFonts w:hint="eastAsia" w:ascii="宋体" w:hAnsi="宋体" w:eastAsia="宋体" w:cs="宋体"/>
          <w:b/>
          <w:sz w:val="24"/>
          <w:szCs w:val="24"/>
          <w:highlight w:val="none"/>
        </w:rPr>
        <w:t>第四部分  合同解除的条件</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第三十三条 如果发生下列情形之一，甲方有权单方面解除本合同且不承担任何责任：</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ascii="宋体" w:hAnsi="宋体" w:eastAsia="宋体" w:cs="宋体"/>
          <w:kern w:val="0"/>
          <w:sz w:val="24"/>
          <w:szCs w:val="24"/>
          <w:highlight w:val="none"/>
        </w:rPr>
        <w:t>.</w:t>
      </w:r>
      <w:r>
        <w:rPr>
          <w:rFonts w:hint="eastAsia" w:ascii="宋体" w:hAnsi="宋体" w:eastAsia="宋体" w:cs="宋体"/>
          <w:kern w:val="0"/>
          <w:sz w:val="24"/>
          <w:szCs w:val="24"/>
          <w:highlight w:val="none"/>
        </w:rPr>
        <w:t>乙方不交付或者不按约定交付食堂考核费逾期达10日以上；</w:t>
      </w:r>
    </w:p>
    <w:p>
      <w:pPr>
        <w:spacing w:before="50" w:line="276" w:lineRule="auto"/>
        <w:ind w:firstLine="480" w:firstLineChars="200"/>
        <w:rPr>
          <w:rFonts w:ascii="宋体" w:hAnsi="宋体" w:eastAsia="宋体" w:cs="宋体"/>
          <w:kern w:val="0"/>
          <w:sz w:val="24"/>
          <w:szCs w:val="24"/>
          <w:highlight w:val="none"/>
        </w:rPr>
      </w:pPr>
      <w:r>
        <w:rPr>
          <w:rFonts w:ascii="宋体" w:hAnsi="宋体" w:eastAsia="宋体" w:cs="宋体"/>
          <w:kern w:val="0"/>
          <w:sz w:val="24"/>
          <w:szCs w:val="24"/>
          <w:highlight w:val="none"/>
        </w:rPr>
        <w:t>2.</w:t>
      </w:r>
      <w:r>
        <w:rPr>
          <w:rFonts w:hint="eastAsia" w:ascii="宋体" w:hAnsi="宋体" w:eastAsia="宋体" w:cs="宋体"/>
          <w:kern w:val="0"/>
          <w:sz w:val="24"/>
          <w:szCs w:val="24"/>
          <w:highlight w:val="none"/>
        </w:rPr>
        <w:t>食堂年度考核中，发现乙方一学期内出现食堂月投料率低</w:t>
      </w:r>
      <w:r>
        <w:rPr>
          <w:rFonts w:ascii="宋体" w:hAnsi="宋体" w:eastAsia="宋体" w:cs="宋体"/>
          <w:kern w:val="0"/>
          <w:sz w:val="24"/>
          <w:szCs w:val="24"/>
          <w:highlight w:val="none"/>
        </w:rPr>
        <w:t>50%</w:t>
      </w:r>
      <w:r>
        <w:rPr>
          <w:rFonts w:hint="eastAsia" w:ascii="宋体" w:hAnsi="宋体" w:eastAsia="宋体" w:cs="宋体"/>
          <w:kern w:val="0"/>
          <w:sz w:val="24"/>
          <w:szCs w:val="24"/>
          <w:highlight w:val="none"/>
        </w:rPr>
        <w:t>三次及以上情况的；一学期内出现三次</w:t>
      </w:r>
      <w:r>
        <w:rPr>
          <w:rFonts w:ascii="宋体" w:hAnsi="宋体" w:eastAsia="宋体" w:cs="宋体"/>
          <w:kern w:val="0"/>
          <w:sz w:val="24"/>
          <w:szCs w:val="24"/>
          <w:highlight w:val="none"/>
        </w:rPr>
        <w:t>基本大伙餐价格折扣率、基本大伙餐投料率</w:t>
      </w:r>
      <w:r>
        <w:rPr>
          <w:rFonts w:hint="eastAsia" w:ascii="宋体" w:hAnsi="宋体" w:eastAsia="宋体" w:cs="宋体"/>
          <w:kern w:val="0"/>
          <w:sz w:val="24"/>
          <w:szCs w:val="24"/>
          <w:highlight w:val="none"/>
        </w:rPr>
        <w:t>、菜品种类、数量、价格未</w:t>
      </w:r>
      <w:r>
        <w:rPr>
          <w:rFonts w:ascii="宋体" w:hAnsi="宋体" w:eastAsia="宋体" w:cs="宋体"/>
          <w:kern w:val="0"/>
          <w:sz w:val="24"/>
          <w:szCs w:val="24"/>
          <w:highlight w:val="none"/>
        </w:rPr>
        <w:t>严格按照参竞文件中乙方所承诺的具体标准进行经营</w:t>
      </w:r>
      <w:r>
        <w:rPr>
          <w:rFonts w:hint="eastAsia" w:ascii="宋体" w:hAnsi="宋体" w:eastAsia="宋体" w:cs="宋体"/>
          <w:kern w:val="0"/>
          <w:sz w:val="24"/>
          <w:szCs w:val="24"/>
          <w:highlight w:val="none"/>
        </w:rPr>
        <w:t>的；</w:t>
      </w:r>
    </w:p>
    <w:p>
      <w:pPr>
        <w:spacing w:before="50" w:line="276" w:lineRule="auto"/>
        <w:ind w:firstLine="480" w:firstLineChars="200"/>
        <w:rPr>
          <w:rFonts w:ascii="宋体" w:hAnsi="宋体" w:eastAsia="宋体" w:cs="宋体"/>
          <w:kern w:val="0"/>
          <w:sz w:val="24"/>
          <w:szCs w:val="24"/>
          <w:highlight w:val="none"/>
        </w:rPr>
      </w:pPr>
      <w:r>
        <w:rPr>
          <w:rFonts w:ascii="宋体" w:hAnsi="宋体" w:eastAsia="宋体" w:cs="宋体"/>
          <w:kern w:val="0"/>
          <w:sz w:val="24"/>
          <w:szCs w:val="24"/>
          <w:highlight w:val="none"/>
        </w:rPr>
        <w:t>3</w:t>
      </w:r>
      <w:r>
        <w:rPr>
          <w:rFonts w:hint="eastAsia" w:ascii="宋体" w:hAnsi="宋体" w:eastAsia="宋体" w:cs="宋体"/>
          <w:kern w:val="0"/>
          <w:sz w:val="24"/>
          <w:szCs w:val="24"/>
          <w:highlight w:val="none"/>
        </w:rPr>
        <w:t>．乙方拖欠应向甲方缴纳的各项费用达壹万元以上；</w:t>
      </w:r>
    </w:p>
    <w:p>
      <w:pPr>
        <w:spacing w:before="50" w:line="276" w:lineRule="auto"/>
        <w:ind w:firstLine="480" w:firstLineChars="200"/>
        <w:rPr>
          <w:rFonts w:ascii="宋体" w:hAnsi="宋体" w:eastAsia="宋体" w:cs="宋体"/>
          <w:kern w:val="0"/>
          <w:sz w:val="24"/>
          <w:szCs w:val="24"/>
          <w:highlight w:val="none"/>
        </w:rPr>
      </w:pPr>
      <w:r>
        <w:rPr>
          <w:rFonts w:ascii="宋体" w:hAnsi="宋体" w:eastAsia="宋体" w:cs="宋体"/>
          <w:kern w:val="0"/>
          <w:sz w:val="24"/>
          <w:szCs w:val="24"/>
          <w:highlight w:val="none"/>
        </w:rPr>
        <w:t>4</w:t>
      </w:r>
      <w:r>
        <w:rPr>
          <w:rFonts w:hint="eastAsia" w:ascii="宋体" w:hAnsi="宋体" w:eastAsia="宋体" w:cs="宋体"/>
          <w:kern w:val="0"/>
          <w:sz w:val="24"/>
          <w:szCs w:val="24"/>
          <w:highlight w:val="none"/>
        </w:rPr>
        <w:t>．乙方未经甲方书面同意，擅自改变经营用途、经营项目或超范围经营；</w:t>
      </w:r>
    </w:p>
    <w:p>
      <w:pPr>
        <w:spacing w:before="50" w:line="276" w:lineRule="auto"/>
        <w:ind w:firstLine="480" w:firstLineChars="200"/>
        <w:rPr>
          <w:rFonts w:ascii="宋体" w:hAnsi="宋体" w:eastAsia="宋体" w:cs="宋体"/>
          <w:kern w:val="0"/>
          <w:sz w:val="24"/>
          <w:szCs w:val="24"/>
          <w:highlight w:val="none"/>
        </w:rPr>
      </w:pPr>
      <w:r>
        <w:rPr>
          <w:rFonts w:ascii="宋体" w:hAnsi="宋体" w:eastAsia="宋体" w:cs="宋体"/>
          <w:kern w:val="0"/>
          <w:sz w:val="24"/>
          <w:szCs w:val="24"/>
          <w:highlight w:val="none"/>
        </w:rPr>
        <w:t>5</w:t>
      </w:r>
      <w:r>
        <w:rPr>
          <w:rFonts w:hint="eastAsia" w:ascii="宋体" w:hAnsi="宋体" w:eastAsia="宋体" w:cs="宋体"/>
          <w:kern w:val="0"/>
          <w:sz w:val="24"/>
          <w:szCs w:val="24"/>
          <w:highlight w:val="none"/>
        </w:rPr>
        <w:t>．乙方违反本合同约定，不承担管理维护或维修责任致使食堂的设施设备严重损坏，而拒绝承担维修或赔偿责任的；</w:t>
      </w:r>
    </w:p>
    <w:p>
      <w:pPr>
        <w:spacing w:before="50" w:line="276" w:lineRule="auto"/>
        <w:ind w:firstLine="480" w:firstLineChars="200"/>
        <w:rPr>
          <w:rFonts w:ascii="宋体" w:hAnsi="宋体" w:eastAsia="宋体" w:cs="宋体"/>
          <w:kern w:val="0"/>
          <w:sz w:val="24"/>
          <w:szCs w:val="24"/>
          <w:highlight w:val="none"/>
        </w:rPr>
      </w:pPr>
      <w:r>
        <w:rPr>
          <w:rFonts w:ascii="宋体" w:hAnsi="宋体" w:eastAsia="宋体" w:cs="宋体"/>
          <w:kern w:val="0"/>
          <w:sz w:val="24"/>
          <w:szCs w:val="24"/>
          <w:highlight w:val="none"/>
        </w:rPr>
        <w:t>6</w:t>
      </w:r>
      <w:r>
        <w:rPr>
          <w:rFonts w:hint="eastAsia" w:ascii="宋体" w:hAnsi="宋体" w:eastAsia="宋体" w:cs="宋体"/>
          <w:kern w:val="0"/>
          <w:sz w:val="24"/>
          <w:szCs w:val="24"/>
          <w:highlight w:val="none"/>
        </w:rPr>
        <w:t>．乙方未经甲方书面同意，将食堂全部或者部分转租（转包或分包）、转借或其他任意形式转交给任何单位或个人进行经营的；</w:t>
      </w:r>
    </w:p>
    <w:p>
      <w:pPr>
        <w:spacing w:before="50" w:line="276" w:lineRule="auto"/>
        <w:ind w:firstLine="480" w:firstLineChars="200"/>
        <w:rPr>
          <w:rFonts w:ascii="宋体" w:hAnsi="宋体" w:eastAsia="宋体" w:cs="宋体"/>
          <w:kern w:val="0"/>
          <w:sz w:val="24"/>
          <w:szCs w:val="24"/>
          <w:highlight w:val="none"/>
        </w:rPr>
      </w:pPr>
      <w:r>
        <w:rPr>
          <w:rFonts w:ascii="宋体" w:hAnsi="宋体" w:eastAsia="宋体" w:cs="宋体"/>
          <w:kern w:val="0"/>
          <w:sz w:val="24"/>
          <w:szCs w:val="24"/>
          <w:highlight w:val="none"/>
        </w:rPr>
        <w:t>7</w:t>
      </w:r>
      <w:r>
        <w:rPr>
          <w:rFonts w:hint="eastAsia" w:ascii="宋体" w:hAnsi="宋体" w:eastAsia="宋体" w:cs="宋体"/>
          <w:kern w:val="0"/>
          <w:sz w:val="24"/>
          <w:szCs w:val="24"/>
          <w:highlight w:val="none"/>
        </w:rPr>
        <w:t>. 乙方在甲方校园内进行违法活动经查实的；</w:t>
      </w:r>
    </w:p>
    <w:p>
      <w:pPr>
        <w:spacing w:before="50" w:line="276" w:lineRule="auto"/>
        <w:ind w:firstLine="480" w:firstLineChars="200"/>
        <w:rPr>
          <w:rFonts w:ascii="宋体" w:hAnsi="宋体" w:eastAsia="宋体" w:cs="宋体"/>
          <w:kern w:val="0"/>
          <w:sz w:val="24"/>
          <w:szCs w:val="24"/>
          <w:highlight w:val="none"/>
        </w:rPr>
      </w:pPr>
      <w:r>
        <w:rPr>
          <w:rFonts w:ascii="宋体" w:hAnsi="宋体" w:eastAsia="宋体" w:cs="宋体"/>
          <w:kern w:val="0"/>
          <w:sz w:val="24"/>
          <w:szCs w:val="24"/>
          <w:highlight w:val="none"/>
        </w:rPr>
        <w:t>8</w:t>
      </w:r>
      <w:r>
        <w:rPr>
          <w:rFonts w:hint="eastAsia" w:ascii="宋体" w:hAnsi="宋体" w:eastAsia="宋体" w:cs="宋体"/>
          <w:kern w:val="0"/>
          <w:sz w:val="24"/>
          <w:szCs w:val="24"/>
          <w:highlight w:val="none"/>
        </w:rPr>
        <w:t>．</w:t>
      </w:r>
      <w:r>
        <w:rPr>
          <w:rFonts w:ascii="宋体" w:hAnsi="宋体" w:eastAsia="宋体" w:cs="宋体"/>
          <w:kern w:val="0"/>
          <w:sz w:val="24"/>
          <w:szCs w:val="24"/>
          <w:highlight w:val="none"/>
        </w:rPr>
        <w:t>乙方的食堂经营档口商户、供货商等或乙方相关的合作方</w:t>
      </w:r>
      <w:r>
        <w:rPr>
          <w:rFonts w:hint="eastAsia" w:ascii="宋体" w:hAnsi="宋体" w:eastAsia="宋体" w:cs="宋体"/>
          <w:kern w:val="0"/>
          <w:sz w:val="24"/>
          <w:szCs w:val="24"/>
          <w:highlight w:val="none"/>
        </w:rPr>
        <w:t>及用餐群体</w:t>
      </w:r>
      <w:r>
        <w:rPr>
          <w:rFonts w:ascii="宋体" w:hAnsi="宋体" w:eastAsia="宋体" w:cs="宋体"/>
          <w:kern w:val="0"/>
          <w:sz w:val="24"/>
          <w:szCs w:val="24"/>
          <w:highlight w:val="none"/>
        </w:rPr>
        <w:t>通过网络、媒体、上访、信访等方式反映乙方在经营食堂过程中存在经营、管理问题等，经甲方书面通知后仍未及时处理的；</w:t>
      </w:r>
    </w:p>
    <w:p>
      <w:pPr>
        <w:spacing w:before="50" w:line="276" w:lineRule="auto"/>
        <w:ind w:firstLine="480" w:firstLineChars="200"/>
        <w:rPr>
          <w:rFonts w:ascii="宋体" w:hAnsi="宋体" w:eastAsia="宋体" w:cs="宋体"/>
          <w:kern w:val="0"/>
          <w:sz w:val="24"/>
          <w:szCs w:val="24"/>
          <w:highlight w:val="none"/>
        </w:rPr>
      </w:pPr>
      <w:r>
        <w:rPr>
          <w:rFonts w:ascii="宋体" w:hAnsi="宋体" w:eastAsia="宋体" w:cs="宋体"/>
          <w:kern w:val="0"/>
          <w:sz w:val="24"/>
          <w:szCs w:val="24"/>
          <w:highlight w:val="none"/>
        </w:rPr>
        <w:t>9</w:t>
      </w:r>
      <w:r>
        <w:rPr>
          <w:rFonts w:hint="eastAsia" w:ascii="宋体" w:hAnsi="宋体" w:eastAsia="宋体" w:cs="宋体"/>
          <w:kern w:val="0"/>
          <w:sz w:val="24"/>
          <w:szCs w:val="24"/>
          <w:highlight w:val="none"/>
        </w:rPr>
        <w:t>．</w:t>
      </w:r>
      <w:r>
        <w:rPr>
          <w:rFonts w:ascii="宋体" w:hAnsi="宋体" w:eastAsia="宋体" w:cs="宋体"/>
          <w:kern w:val="0"/>
          <w:sz w:val="24"/>
          <w:szCs w:val="24"/>
          <w:highlight w:val="none"/>
        </w:rPr>
        <w:t>乙方拖欠供货商款项、食堂经营档口商户款项、劳动劳务人员报酬等，未及时处理或甲方书面通知后仍未妥善解决的；</w:t>
      </w:r>
    </w:p>
    <w:p>
      <w:pPr>
        <w:spacing w:before="50" w:line="276" w:lineRule="auto"/>
        <w:ind w:firstLine="480" w:firstLineChars="200"/>
        <w:rPr>
          <w:rFonts w:ascii="宋体" w:hAnsi="宋体" w:eastAsia="宋体" w:cs="宋体"/>
          <w:kern w:val="0"/>
          <w:sz w:val="24"/>
          <w:szCs w:val="24"/>
          <w:highlight w:val="none"/>
        </w:rPr>
      </w:pPr>
      <w:r>
        <w:rPr>
          <w:rFonts w:ascii="宋体" w:hAnsi="宋体" w:eastAsia="宋体" w:cs="宋体"/>
          <w:kern w:val="0"/>
          <w:sz w:val="24"/>
          <w:szCs w:val="24"/>
          <w:highlight w:val="none"/>
        </w:rPr>
        <w:t>10</w:t>
      </w:r>
      <w:r>
        <w:rPr>
          <w:rFonts w:hint="eastAsia" w:ascii="宋体" w:hAnsi="宋体" w:eastAsia="宋体" w:cs="宋体"/>
          <w:kern w:val="0"/>
          <w:sz w:val="24"/>
          <w:szCs w:val="24"/>
          <w:highlight w:val="none"/>
        </w:rPr>
        <w:t>．</w:t>
      </w:r>
      <w:r>
        <w:rPr>
          <w:rFonts w:ascii="宋体" w:hAnsi="宋体" w:eastAsia="宋体" w:cs="宋体"/>
          <w:kern w:val="0"/>
          <w:sz w:val="24"/>
          <w:szCs w:val="24"/>
          <w:highlight w:val="none"/>
        </w:rPr>
        <w:t>在乙方经营管理过程中，人员食用食物后出现食源性身体不适等相关情况达5人及以上的；</w:t>
      </w:r>
    </w:p>
    <w:p>
      <w:pPr>
        <w:spacing w:before="50" w:line="276" w:lineRule="auto"/>
        <w:ind w:firstLine="480" w:firstLineChars="200"/>
        <w:rPr>
          <w:rFonts w:ascii="宋体" w:hAnsi="宋体" w:eastAsia="宋体" w:cs="宋体"/>
          <w:kern w:val="0"/>
          <w:sz w:val="24"/>
          <w:szCs w:val="24"/>
          <w:highlight w:val="none"/>
        </w:rPr>
      </w:pPr>
      <w:r>
        <w:rPr>
          <w:rFonts w:ascii="宋体" w:hAnsi="宋体" w:eastAsia="宋体" w:cs="宋体"/>
          <w:kern w:val="0"/>
          <w:sz w:val="24"/>
          <w:szCs w:val="24"/>
          <w:highlight w:val="none"/>
        </w:rPr>
        <w:t>11.乙方在经营管理过程中出现安全稳定问题，经甲方书面通知后仍未妥善解决的；</w:t>
      </w:r>
    </w:p>
    <w:p>
      <w:pPr>
        <w:spacing w:before="50" w:line="276" w:lineRule="auto"/>
        <w:ind w:firstLine="480" w:firstLineChars="200"/>
        <w:rPr>
          <w:rFonts w:ascii="宋体" w:hAnsi="宋体" w:eastAsia="宋体" w:cs="宋体"/>
          <w:kern w:val="0"/>
          <w:sz w:val="24"/>
          <w:szCs w:val="24"/>
          <w:highlight w:val="none"/>
        </w:rPr>
      </w:pPr>
      <w:r>
        <w:rPr>
          <w:rFonts w:ascii="宋体" w:hAnsi="宋体" w:eastAsia="宋体" w:cs="宋体"/>
          <w:kern w:val="0"/>
          <w:sz w:val="24"/>
          <w:szCs w:val="24"/>
          <w:highlight w:val="none"/>
        </w:rPr>
        <w:t>12.甲方对乙方进行日常考核、年度考核，乙方作为被考核人出现考核不合格情况的；</w:t>
      </w:r>
    </w:p>
    <w:p>
      <w:pPr>
        <w:spacing w:before="50" w:line="276" w:lineRule="auto"/>
        <w:ind w:firstLine="480" w:firstLineChars="200"/>
        <w:rPr>
          <w:rFonts w:ascii="宋体" w:hAnsi="宋体" w:eastAsia="宋体" w:cs="宋体"/>
          <w:kern w:val="0"/>
          <w:sz w:val="24"/>
          <w:szCs w:val="24"/>
          <w:highlight w:val="none"/>
        </w:rPr>
      </w:pPr>
      <w:r>
        <w:rPr>
          <w:rFonts w:ascii="宋体" w:hAnsi="宋体" w:eastAsia="宋体" w:cs="宋体"/>
          <w:kern w:val="0"/>
          <w:sz w:val="24"/>
          <w:szCs w:val="24"/>
          <w:highlight w:val="none"/>
        </w:rPr>
        <w:t>13</w:t>
      </w:r>
      <w:r>
        <w:rPr>
          <w:rFonts w:hint="eastAsia" w:ascii="宋体" w:hAnsi="宋体" w:eastAsia="宋体" w:cs="宋体"/>
          <w:kern w:val="0"/>
          <w:sz w:val="24"/>
          <w:szCs w:val="24"/>
          <w:highlight w:val="none"/>
        </w:rPr>
        <w:t>. 因教育主管部门或学校建设、发展需要等政策因素规定须解除合同的；</w:t>
      </w:r>
    </w:p>
    <w:p>
      <w:pPr>
        <w:spacing w:before="50" w:line="276" w:lineRule="auto"/>
        <w:ind w:firstLine="480" w:firstLineChars="200"/>
        <w:rPr>
          <w:rFonts w:ascii="宋体" w:hAnsi="宋体" w:eastAsia="宋体" w:cs="宋体"/>
          <w:kern w:val="0"/>
          <w:sz w:val="24"/>
          <w:szCs w:val="24"/>
          <w:highlight w:val="none"/>
        </w:rPr>
      </w:pPr>
      <w:r>
        <w:rPr>
          <w:rFonts w:ascii="宋体" w:hAnsi="宋体" w:eastAsia="宋体" w:cs="宋体"/>
          <w:kern w:val="0"/>
          <w:sz w:val="24"/>
          <w:szCs w:val="24"/>
          <w:highlight w:val="none"/>
        </w:rPr>
        <w:t>14</w:t>
      </w:r>
      <w:r>
        <w:rPr>
          <w:rFonts w:hint="eastAsia" w:ascii="宋体" w:hAnsi="宋体" w:eastAsia="宋体" w:cs="宋体"/>
          <w:kern w:val="0"/>
          <w:sz w:val="24"/>
          <w:szCs w:val="24"/>
          <w:highlight w:val="none"/>
        </w:rPr>
        <w:t>. 乙方违反甲方食堂经营和管理的规定，未在限期内整改或整改不达标的；</w:t>
      </w:r>
    </w:p>
    <w:p>
      <w:pPr>
        <w:spacing w:before="50" w:line="276" w:lineRule="auto"/>
        <w:ind w:firstLine="480" w:firstLineChars="200"/>
        <w:rPr>
          <w:rFonts w:ascii="宋体" w:hAnsi="宋体" w:eastAsia="宋体" w:cs="宋体"/>
          <w:kern w:val="0"/>
          <w:sz w:val="24"/>
          <w:szCs w:val="24"/>
          <w:highlight w:val="none"/>
        </w:rPr>
      </w:pPr>
      <w:r>
        <w:rPr>
          <w:rFonts w:ascii="宋体" w:hAnsi="宋体" w:eastAsia="宋体" w:cs="宋体"/>
          <w:kern w:val="0"/>
          <w:sz w:val="24"/>
          <w:szCs w:val="24"/>
          <w:highlight w:val="none"/>
        </w:rPr>
        <w:t>15</w:t>
      </w:r>
      <w:r>
        <w:rPr>
          <w:rFonts w:hint="eastAsia" w:ascii="宋体" w:hAnsi="宋体" w:eastAsia="宋体" w:cs="宋体"/>
          <w:kern w:val="0"/>
          <w:sz w:val="24"/>
          <w:szCs w:val="24"/>
          <w:highlight w:val="none"/>
        </w:rPr>
        <w:t>. 乙方的履约保证金全部或者部分被扣取后未在三个工作日内补足的；</w:t>
      </w:r>
    </w:p>
    <w:p>
      <w:pPr>
        <w:spacing w:before="50" w:line="276" w:lineRule="auto"/>
        <w:ind w:firstLine="480" w:firstLineChars="200"/>
        <w:rPr>
          <w:rFonts w:ascii="宋体" w:hAnsi="宋体" w:eastAsia="宋体" w:cs="宋体"/>
          <w:kern w:val="0"/>
          <w:sz w:val="24"/>
          <w:szCs w:val="24"/>
          <w:highlight w:val="none"/>
        </w:rPr>
      </w:pPr>
      <w:r>
        <w:rPr>
          <w:rFonts w:ascii="宋体" w:hAnsi="宋体" w:eastAsia="宋体" w:cs="宋体"/>
          <w:kern w:val="0"/>
          <w:sz w:val="24"/>
          <w:szCs w:val="24"/>
          <w:highlight w:val="none"/>
        </w:rPr>
        <w:t>16</w:t>
      </w:r>
      <w:r>
        <w:rPr>
          <w:rFonts w:hint="eastAsia" w:ascii="宋体" w:hAnsi="宋体" w:eastAsia="宋体" w:cs="宋体"/>
          <w:kern w:val="0"/>
          <w:sz w:val="24"/>
          <w:szCs w:val="24"/>
          <w:highlight w:val="none"/>
        </w:rPr>
        <w:t>. 在乙方的经营的食堂内出现重大食品卫生安全责任事故、消防安全责任事故等事故的；</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ascii="宋体" w:hAnsi="宋体" w:eastAsia="宋体" w:cs="宋体"/>
          <w:kern w:val="0"/>
          <w:sz w:val="24"/>
          <w:szCs w:val="24"/>
          <w:highlight w:val="none"/>
        </w:rPr>
        <w:t>7</w:t>
      </w:r>
      <w:r>
        <w:rPr>
          <w:rFonts w:hint="eastAsia" w:ascii="宋体" w:hAnsi="宋体" w:eastAsia="宋体" w:cs="宋体"/>
          <w:kern w:val="0"/>
          <w:sz w:val="24"/>
          <w:szCs w:val="24"/>
          <w:highlight w:val="none"/>
        </w:rPr>
        <w:t>. 首期一次性投入没有达到合同约定金额或者在过程化</w:t>
      </w:r>
      <w:r>
        <w:rPr>
          <w:rFonts w:hint="eastAsia" w:ascii="宋体" w:hAnsi="宋体" w:eastAsia="宋体" w:cs="宋体"/>
          <w:bCs/>
          <w:kern w:val="0"/>
          <w:sz w:val="24"/>
          <w:szCs w:val="24"/>
          <w:highlight w:val="none"/>
        </w:rPr>
        <w:t>验收中不符合要求的</w:t>
      </w:r>
      <w:r>
        <w:rPr>
          <w:rFonts w:hint="eastAsia" w:ascii="宋体" w:hAnsi="宋体" w:eastAsia="宋体" w:cs="宋体"/>
          <w:kern w:val="0"/>
          <w:sz w:val="24"/>
          <w:szCs w:val="24"/>
          <w:highlight w:val="none"/>
        </w:rPr>
        <w:t>；</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ascii="宋体" w:hAnsi="宋体" w:eastAsia="宋体" w:cs="宋体"/>
          <w:kern w:val="0"/>
          <w:sz w:val="24"/>
          <w:szCs w:val="24"/>
          <w:highlight w:val="none"/>
        </w:rPr>
        <w:t>8</w:t>
      </w:r>
      <w:r>
        <w:rPr>
          <w:rFonts w:hint="eastAsia" w:ascii="宋体" w:hAnsi="宋体" w:eastAsia="宋体" w:cs="宋体"/>
          <w:kern w:val="0"/>
          <w:sz w:val="24"/>
          <w:szCs w:val="24"/>
          <w:highlight w:val="none"/>
        </w:rPr>
        <w:t>. 法律、法规规定的其它解除合同的情形。</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甲方解除合同后，乙方应对甲方造成的所有损失承担赔偿责任。</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第三十四条 有下列情形之一，乙方有权解除本合同，且不承担任何责任：</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1．甲方迟延交付联合经营食堂2个月以上；</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2. 法律、法规规定的其它解除合同的情形。</w:t>
      </w:r>
    </w:p>
    <w:p>
      <w:pPr>
        <w:spacing w:before="50" w:line="276"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第五部分  违约责任</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第三十五条 乙方在合同存续期内如果没有提前一周向甲方进行书面申请并获得同意，而擅自关闭食堂的全部或部分经营窗口超过半天及以上时间，影响师生正常就餐的，甲方可视为乙方单方面毁约，甲方有权按照每关闭一天伍仟元的标准收取违约金，并保留解除合同、取消乙方经营经营管理资格的权利。</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第三十六条 乙方如果在合同存续期间提出提前解除本合同，放弃联合经营资格的，必须至少提前三个月告知甲方，征得甲方书面同意后可以不承担违约责任。否则乙方须承担违约责任并向甲方支付拾万元的违约金。</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第三十七条 乙方如果在合同存续期间，存在违法行为或者较为严重的违规等行为，不再适宜继续经营经营的，甲方可以要求提前解除本合同，并且不用承担任何违约责任。</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第三十八条 在本合同存续期间，甲方因不可抗力因素或政策因素等原因，提出提前解除本合同的，不用承担违约责任。甲方因为其他原因提出提前解除本合同的，应当提前三个月告知乙方，征得乙方书面同意后可以不承担违约责任。否则甲方须承担违约责任并向乙方支付拾万元的违约金。</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第三十九条 乙方应妥善处理与就餐人员之间的矛盾、冲突，且不得使冲突升级为打人事件，否则，应承担由此所产生的所有责任；没有达到标准化食堂的要求，提供霉烂变质食物（包括库存中有霉变货物）等，甲方将从其一卡通营业款中扣除违约金每次不低于两千元，乙方还必须为以上行为而产生的后果负全责；发生投毒或食物中毒事件，甲方除扣除履约保证金外，乙方还必须承担因此而造成的所有责任，甲方有权解除合同。</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第四十条 为确保食堂进货和库存食品的安全，乙方必须确保进货食品都有《质检报告》，必须建立《进出货登记册》，如实登记如下事项：品名、进货渠道（或生产厂商）、检疫证明、生产日期、质保期、进库日期、出库日期、出库量、库存余量等，凡甲方及其有关方面检查到《进出库登记册》中有缺项，甲方将从乙方一卡通营业额中扣除违约金壹千元／次。</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第四十一条 乙方必须做好食堂卫生和食品安全工作，达到食品卫生安全量化A级管理标准。在接受市区两级的食药监局、卫生局、环保局的有关部门以及市教委、高校后勤协会等各级各类检查时，承担检查组提出的任何关于安全、卫生、饭菜质量和价格方面问题的责任，若受到检查组的处罚，则甲方也将按照甲方的相关管理规定进行处理。在迎接各类参观团的过程中给学校造成重大不良影响的，甲方也将按照有规章制度进行处理。没有按合同约定完善各类证照者，视为违规经营和违约，甲方保留扣除全部履约保证金和单方解除合同的权利。</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第四十二条 甲方除常规检查外，还将不定期地会同相关人员（学生代表、教师代表、家长代表、餐厅管理人员代表等）就乙方提供的菜品种类结构及价格、卫生、饭菜质量、服务态度等项目进行随机检查，若发现饭菜质量和服务态度问题，则每次从其一卡通营业额中扣除伍佰元。</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第四十三条 因饭菜质量、价格和卫生等问题造成学生集体（10人及其以上）上访或30人及其以上集体签名反映问题的，则每次从其一卡通营业额中扣除伍万元的违约金，情节严重者甲方有权扣除全部履约保证金并解除经营合同。</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第四十四条 乙方必须做好内部人员管理，包括安全和稳定的管理。若因内部员工工伤、工资报酬、供货商、合作商、贷款纠纷等情况出现上访事件，每出现一次将扣除不低于壹万元的违约金，造成重大不良影响者甲方有权单方面解除合同，并不退还全部履约保证金。</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第四十五条 乙方必须认真执行本合同书的要求和规定，对不服从甲方管理，无故不及时按照甲方的要求进行整改的，每次扣取壹仟元至壹万元的违约金。</w:t>
      </w:r>
    </w:p>
    <w:p>
      <w:pPr>
        <w:spacing w:before="50" w:line="276"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第六部分  双方约定的其他事宜</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第四十六条 在本合同期满或者解除后，甲方没有回购乙方自行添置的设施设备的义务，也不用补偿乙方进行环境设施改善和消防设施改善的费用。合同期届满，所有环境设施改善和消防设施改善投入归学校所有。乙方不得损坏现有不可移动的设施设备，乙方投入的装修装饰和管网、电线、消防设施等无偿归甲方所有，不得破坏。甲方保留要求乙方恢复原状的权利。</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第四十七条 本合同在履行过程中发生的争议，由双方当事人协商解决；也可由有关部门调解；协商或调解不成的，由重庆市沙坪坝区人民法院管辖。乙方在签订本合同时已知晓甲方各项规章制度，甲方各项规章制度及本合同所涉及的文本作为本协议的附本，对甲、乙双方均有约束力。</w:t>
      </w:r>
    </w:p>
    <w:p>
      <w:pPr>
        <w:spacing w:before="50" w:line="276"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第四十八条 本合同一式四份，甲方执三份、乙方执一份，从甲乙双方签字或盖章之日生效。</w:t>
      </w:r>
    </w:p>
    <w:p>
      <w:pPr>
        <w:spacing w:line="276" w:lineRule="auto"/>
        <w:rPr>
          <w:rFonts w:ascii="宋体" w:hAnsi="宋体" w:eastAsia="宋体" w:cs="宋体"/>
          <w:sz w:val="24"/>
          <w:szCs w:val="24"/>
          <w:highlight w:val="none"/>
        </w:rPr>
      </w:pPr>
    </w:p>
    <w:p>
      <w:pPr>
        <w:spacing w:line="276" w:lineRule="auto"/>
        <w:rPr>
          <w:rFonts w:ascii="宋体" w:hAnsi="宋体" w:eastAsia="宋体" w:cs="宋体"/>
          <w:sz w:val="24"/>
          <w:szCs w:val="24"/>
          <w:highlight w:val="none"/>
        </w:rPr>
      </w:pPr>
    </w:p>
    <w:p>
      <w:pPr>
        <w:spacing w:line="276" w:lineRule="auto"/>
        <w:rPr>
          <w:rFonts w:ascii="宋体" w:hAnsi="宋体" w:eastAsia="宋体"/>
          <w:sz w:val="24"/>
          <w:szCs w:val="24"/>
          <w:highlight w:val="none"/>
        </w:rPr>
      </w:pPr>
    </w:p>
    <w:p>
      <w:pPr>
        <w:rPr>
          <w:highlight w:val="none"/>
        </w:rPr>
      </w:pPr>
    </w:p>
    <w:p>
      <w:pPr>
        <w:pStyle w:val="3"/>
        <w:pageBreakBefore/>
        <w:spacing w:line="276" w:lineRule="auto"/>
        <w:rPr>
          <w:rFonts w:cs="宋体"/>
          <w:b/>
          <w:sz w:val="24"/>
          <w:szCs w:val="24"/>
          <w:highlight w:val="none"/>
        </w:rPr>
      </w:pPr>
      <w:r>
        <w:rPr>
          <w:rFonts w:hint="eastAsia" w:cs="宋体"/>
          <w:b/>
          <w:sz w:val="24"/>
          <w:szCs w:val="24"/>
          <w:highlight w:val="none"/>
        </w:rPr>
        <w:t>附件</w:t>
      </w:r>
      <w:r>
        <w:rPr>
          <w:rFonts w:cs="宋体"/>
          <w:b/>
          <w:sz w:val="24"/>
          <w:szCs w:val="24"/>
          <w:highlight w:val="none"/>
        </w:rPr>
        <w:t>1</w:t>
      </w:r>
      <w:r>
        <w:rPr>
          <w:rFonts w:hint="eastAsia" w:cs="宋体"/>
          <w:b/>
          <w:sz w:val="24"/>
          <w:szCs w:val="24"/>
          <w:highlight w:val="none"/>
        </w:rPr>
        <w:t xml:space="preserve"> 四川外国语大学对社会企业参与学生食堂联合经营日常考核实施细则</w:t>
      </w: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为进一步加强我校引进的社会企业联合经营学生食堂的管理，根据《四川外国语大学学生食堂联合经营合同》、相关规章制度及管理考核办法，结合我校社会企业联合经营学生食堂的实际，特制定本管理考核实施细则，请遵照执行。</w:t>
      </w:r>
    </w:p>
    <w:tbl>
      <w:tblPr>
        <w:tblStyle w:val="33"/>
        <w:tblW w:w="10500" w:type="dxa"/>
        <w:tblInd w:w="-601" w:type="dxa"/>
        <w:tblLayout w:type="fixed"/>
        <w:tblCellMar>
          <w:top w:w="0" w:type="dxa"/>
          <w:left w:w="108" w:type="dxa"/>
          <w:bottom w:w="0" w:type="dxa"/>
          <w:right w:w="108" w:type="dxa"/>
        </w:tblCellMar>
      </w:tblPr>
      <w:tblGrid>
        <w:gridCol w:w="499"/>
        <w:gridCol w:w="579"/>
        <w:gridCol w:w="534"/>
        <w:gridCol w:w="2651"/>
        <w:gridCol w:w="709"/>
        <w:gridCol w:w="2976"/>
        <w:gridCol w:w="2552"/>
      </w:tblGrid>
      <w:tr>
        <w:tblPrEx>
          <w:tblCellMar>
            <w:top w:w="0" w:type="dxa"/>
            <w:left w:w="108" w:type="dxa"/>
            <w:bottom w:w="0" w:type="dxa"/>
            <w:right w:w="108" w:type="dxa"/>
          </w:tblCellMar>
        </w:tblPrEx>
        <w:trPr>
          <w:trHeight w:val="480" w:hRule="atLeast"/>
        </w:trPr>
        <w:tc>
          <w:tcPr>
            <w:tcW w:w="49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57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考核项目</w:t>
            </w:r>
          </w:p>
        </w:tc>
        <w:tc>
          <w:tcPr>
            <w:tcW w:w="3185" w:type="dxa"/>
            <w:gridSpan w:val="2"/>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规范要求</w:t>
            </w:r>
          </w:p>
        </w:tc>
        <w:tc>
          <w:tcPr>
            <w:tcW w:w="70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考核方式</w:t>
            </w:r>
          </w:p>
        </w:tc>
        <w:tc>
          <w:tcPr>
            <w:tcW w:w="2976"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扣款标准</w:t>
            </w:r>
          </w:p>
        </w:tc>
        <w:tc>
          <w:tcPr>
            <w:tcW w:w="2552"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扣分标准</w:t>
            </w:r>
          </w:p>
        </w:tc>
      </w:tr>
      <w:tr>
        <w:tblPrEx>
          <w:tblCellMar>
            <w:top w:w="0" w:type="dxa"/>
            <w:left w:w="108" w:type="dxa"/>
            <w:bottom w:w="0" w:type="dxa"/>
            <w:right w:w="108" w:type="dxa"/>
          </w:tblCellMar>
        </w:tblPrEx>
        <w:trPr>
          <w:trHeight w:val="480" w:hRule="atLeast"/>
        </w:trPr>
        <w:tc>
          <w:tcPr>
            <w:tcW w:w="499" w:type="dxa"/>
            <w:vMerge w:val="restart"/>
            <w:tcBorders>
              <w:top w:val="nil"/>
              <w:left w:val="single" w:color="auto" w:sz="4" w:space="0"/>
              <w:bottom w:val="single" w:color="000000"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一</w:t>
            </w:r>
          </w:p>
        </w:tc>
        <w:tc>
          <w:tcPr>
            <w:tcW w:w="579" w:type="dxa"/>
            <w:vMerge w:val="restart"/>
            <w:tcBorders>
              <w:top w:val="nil"/>
              <w:left w:val="single" w:color="auto" w:sz="4" w:space="0"/>
              <w:bottom w:val="single" w:color="000000" w:sz="4" w:space="0"/>
              <w:right w:val="single" w:color="auto" w:sz="4" w:space="0"/>
            </w:tcBorders>
            <w:textDirection w:val="tbRlV"/>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安全管理</w:t>
            </w:r>
          </w:p>
        </w:tc>
        <w:tc>
          <w:tcPr>
            <w:tcW w:w="534" w:type="dxa"/>
            <w:vMerge w:val="restart"/>
            <w:tcBorders>
              <w:top w:val="nil"/>
              <w:left w:val="single" w:color="auto" w:sz="4" w:space="0"/>
              <w:bottom w:val="single" w:color="auto" w:sz="4" w:space="0"/>
              <w:right w:val="single" w:color="auto" w:sz="4" w:space="0"/>
            </w:tcBorders>
            <w:textDirection w:val="tbRlV"/>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食品卫生安全</w:t>
            </w: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1、应建有各岗位职责及工作流程制度</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查看制度</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缺一项制度每次扣款500元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2、应建有卫生与安全责任制度和责任追究制度</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查看制度</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缺一项制度每次扣款500元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tblPrEx>
          <w:tblCellMar>
            <w:top w:w="0" w:type="dxa"/>
            <w:left w:w="108" w:type="dxa"/>
            <w:bottom w:w="0" w:type="dxa"/>
            <w:right w:w="108" w:type="dxa"/>
          </w:tblCellMar>
        </w:tblPrEx>
        <w:trPr>
          <w:trHeight w:val="96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3、应持有效证件经营</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无证经营或证件无效除由经营者支付卫生主管部门的扣款外，学校将按5000—50000元进行扣款直至解除经营管理合同</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4、从业人员应持有有效健康证</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缺证一人次扣款500元</w:t>
            </w:r>
          </w:p>
        </w:tc>
        <w:tc>
          <w:tcPr>
            <w:tcW w:w="2552"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缺证一人次扣1分</w:t>
            </w:r>
          </w:p>
        </w:tc>
      </w:tr>
      <w:tr>
        <w:tblPrEx>
          <w:tblCellMar>
            <w:top w:w="0" w:type="dxa"/>
            <w:left w:w="108" w:type="dxa"/>
            <w:bottom w:w="0" w:type="dxa"/>
            <w:right w:w="108" w:type="dxa"/>
          </w:tblCellMar>
        </w:tblPrEx>
        <w:trPr>
          <w:trHeight w:val="72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5、应严格执行食品卫生法律、法规，无食物中毒事故和肠道传染病发生</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出现食物中毒事故，按照食品安全相关法律法规处理</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年度考核一票否决</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6、应坚持《食品及食品原辅材料进货检查验收制度》</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进货无台账每次扣款500元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进货无台账或记录不全，每发现一次扣1分</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restart"/>
            <w:tcBorders>
              <w:top w:val="nil"/>
              <w:left w:val="single" w:color="auto" w:sz="4" w:space="0"/>
              <w:bottom w:val="single" w:color="000000"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消防安全</w:t>
            </w: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7、应保障食堂各项消防设施完好，进行定期检查并作好检查记录</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设施损坏、无检查记录扣款500元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记录不全一次扣1分</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8、应安全用电，严禁私拉电线</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私拉电线一次扣款1000元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私拉电线一次扣2分</w:t>
            </w:r>
          </w:p>
        </w:tc>
      </w:tr>
      <w:tr>
        <w:tblPrEx>
          <w:tblCellMar>
            <w:top w:w="0" w:type="dxa"/>
            <w:left w:w="108" w:type="dxa"/>
            <w:bottom w:w="0" w:type="dxa"/>
            <w:right w:w="108" w:type="dxa"/>
          </w:tblCellMar>
        </w:tblPrEx>
        <w:trPr>
          <w:trHeight w:val="72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9、应培训员工掌握正确使用天然气的方法，注意防漏、防爆、防火，使用后关好气阀，确保安全</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出现用电用气或火情安全事故一次扣款不低于10000元</w:t>
            </w:r>
          </w:p>
        </w:tc>
        <w:tc>
          <w:tcPr>
            <w:tcW w:w="2552"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出现用气安全事故一次扣20分</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10、应组织员工培训消防自防自救常识和安全逃生技能</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查看记录</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无培训记录的扣款500元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无培训记录一次扣1分</w:t>
            </w:r>
          </w:p>
        </w:tc>
      </w:tr>
      <w:tr>
        <w:tblPrEx>
          <w:tblCellMar>
            <w:top w:w="0" w:type="dxa"/>
            <w:left w:w="108" w:type="dxa"/>
            <w:bottom w:w="0" w:type="dxa"/>
            <w:right w:w="108" w:type="dxa"/>
          </w:tblCellMar>
        </w:tblPrEx>
        <w:trPr>
          <w:trHeight w:val="96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其他安全</w:t>
            </w: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11、应安排专人管理和保护好学校固定资产的安全</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按照学校有关固定资产的相关规定处理</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每遗失一件扣1分</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restart"/>
            <w:tcBorders>
              <w:top w:val="nil"/>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事故预防制度</w:t>
            </w: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12、应对从业人员进行卫生安全知识培训，建有预防食物中毒事故预案</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查看制度</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缺一项预案制度扣款500元/次</w:t>
            </w:r>
          </w:p>
        </w:tc>
        <w:tc>
          <w:tcPr>
            <w:tcW w:w="2552"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缺一项预案制度扣1分</w:t>
            </w:r>
          </w:p>
        </w:tc>
      </w:tr>
      <w:tr>
        <w:tblPrEx>
          <w:tblCellMar>
            <w:top w:w="0" w:type="dxa"/>
            <w:left w:w="108" w:type="dxa"/>
            <w:bottom w:w="0" w:type="dxa"/>
            <w:right w:w="108" w:type="dxa"/>
          </w:tblCellMar>
        </w:tblPrEx>
        <w:trPr>
          <w:trHeight w:val="72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13、应对从业人员进行消防安全知识培训，建有因电气、燃气、油锅着火应急处理机制及预案</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查看制度</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缺一项预案扣款500元/次</w:t>
            </w:r>
          </w:p>
        </w:tc>
        <w:tc>
          <w:tcPr>
            <w:tcW w:w="2552"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缺一项预案制度扣2分</w:t>
            </w:r>
          </w:p>
        </w:tc>
      </w:tr>
      <w:tr>
        <w:tblPrEx>
          <w:tblCellMar>
            <w:top w:w="0" w:type="dxa"/>
            <w:left w:w="108" w:type="dxa"/>
            <w:bottom w:w="0" w:type="dxa"/>
            <w:right w:w="108" w:type="dxa"/>
          </w:tblCellMar>
        </w:tblPrEx>
        <w:trPr>
          <w:trHeight w:val="72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14、应对从业人员进行设备使用培训，建有机械设备、用电、用气(汽)安全操作规程</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违规操作一次扣款500元/次</w:t>
            </w:r>
          </w:p>
        </w:tc>
        <w:tc>
          <w:tcPr>
            <w:tcW w:w="2552"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违规操作一次扣1分</w:t>
            </w:r>
          </w:p>
        </w:tc>
      </w:tr>
      <w:tr>
        <w:tblPrEx>
          <w:tblCellMar>
            <w:top w:w="0" w:type="dxa"/>
            <w:left w:w="108" w:type="dxa"/>
            <w:bottom w:w="0" w:type="dxa"/>
            <w:right w:w="108" w:type="dxa"/>
          </w:tblCellMar>
        </w:tblPrEx>
        <w:trPr>
          <w:trHeight w:val="960" w:hRule="atLeast"/>
        </w:trPr>
        <w:tc>
          <w:tcPr>
            <w:tcW w:w="499" w:type="dxa"/>
            <w:vMerge w:val="restart"/>
            <w:tcBorders>
              <w:top w:val="nil"/>
              <w:left w:val="single" w:color="auto" w:sz="4" w:space="0"/>
              <w:bottom w:val="single" w:color="000000"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二</w:t>
            </w:r>
          </w:p>
        </w:tc>
        <w:tc>
          <w:tcPr>
            <w:tcW w:w="579" w:type="dxa"/>
            <w:vMerge w:val="restart"/>
            <w:tcBorders>
              <w:top w:val="nil"/>
              <w:left w:val="single" w:color="auto" w:sz="4" w:space="0"/>
              <w:bottom w:val="single" w:color="000000" w:sz="4" w:space="0"/>
              <w:right w:val="single" w:color="auto" w:sz="4" w:space="0"/>
            </w:tcBorders>
            <w:textDirection w:val="tbRlV"/>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食品管理</w:t>
            </w:r>
          </w:p>
        </w:tc>
        <w:tc>
          <w:tcPr>
            <w:tcW w:w="534" w:type="dxa"/>
            <w:vMerge w:val="restart"/>
            <w:tcBorders>
              <w:top w:val="nil"/>
              <w:left w:val="single" w:color="auto" w:sz="4" w:space="0"/>
              <w:right w:val="single" w:color="auto" w:sz="4" w:space="0"/>
            </w:tcBorders>
            <w:textDirection w:val="tbRlV"/>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采购</w:t>
            </w: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15、主要原材料应建立定点供货单位及采购品种备案制度，供货单位必须持有营业执照、卫生许可证、动植物检疫合格证等相关证件并提交后勤基建管理处备案</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查看证件</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无相关证件的每缺一项扣款1000元/次</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证件不齐，每缺一项扣5分</w:t>
            </w:r>
          </w:p>
        </w:tc>
      </w:tr>
      <w:tr>
        <w:tblPrEx>
          <w:tblCellMar>
            <w:top w:w="0" w:type="dxa"/>
            <w:left w:w="108" w:type="dxa"/>
            <w:bottom w:w="0" w:type="dxa"/>
            <w:right w:w="108" w:type="dxa"/>
          </w:tblCellMar>
        </w:tblPrEx>
        <w:trPr>
          <w:trHeight w:val="96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left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16、应建立采购登记台账制度和索证、索票、准入制度，每批次物质应有生产厂家、产地、生产日期、保质期及QS认证等标识</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每缺一项扣款500元/次</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每缺一项扣1分</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left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17、采购的原材料应符合国家有关标准和规定</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每违规采购一次给予扣款10000元；如违规采购超过三次，学校将保留对联营食堂原材料统一采购的权利。</w:t>
            </w:r>
          </w:p>
        </w:tc>
        <w:tc>
          <w:tcPr>
            <w:tcW w:w="2552"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每违规采购一次扣10分</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18、肉类采购比例科学合理</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肉类采购的鲜货与冻货的比例须严格控制在科学合理的范围，冻货占比不得过大。根据师生的投诉意见进行处罚，每投诉一次给予扣款2000元</w:t>
            </w:r>
          </w:p>
        </w:tc>
        <w:tc>
          <w:tcPr>
            <w:tcW w:w="2552"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每次投诉一次扣5分</w:t>
            </w:r>
          </w:p>
        </w:tc>
      </w:tr>
      <w:tr>
        <w:tblPrEx>
          <w:tblCellMar>
            <w:top w:w="0" w:type="dxa"/>
            <w:left w:w="108" w:type="dxa"/>
            <w:bottom w:w="0" w:type="dxa"/>
            <w:right w:w="108" w:type="dxa"/>
          </w:tblCellMar>
        </w:tblPrEx>
        <w:trPr>
          <w:trHeight w:val="96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restart"/>
            <w:tcBorders>
              <w:top w:val="nil"/>
              <w:left w:val="single" w:color="auto" w:sz="4" w:space="0"/>
              <w:bottom w:val="single" w:color="auto" w:sz="4" w:space="0"/>
              <w:right w:val="single" w:color="auto" w:sz="4" w:space="0"/>
            </w:tcBorders>
            <w:textDirection w:val="tbRlV"/>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存储</w:t>
            </w: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19、食品贮藏应做到原料、半成品、成品严格分开，做到生、熟分开，植物性食品、动物性食品和水产品分类摆放，冷藏柜(库)存放食品有标志</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不符合要求每次扣1分</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20、仓库管理规范，物资分类存放，食品库无过期、变质及非食品物资</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仓库管理不符合要求每次扣款不低于500元；如发现过期或霉变食品，每次扣款不低于5000元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每发现过期或霉变食品，一次扣5分</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restart"/>
            <w:tcBorders>
              <w:top w:val="nil"/>
              <w:left w:val="single" w:color="auto" w:sz="4" w:space="0"/>
              <w:bottom w:val="single" w:color="auto" w:sz="4" w:space="0"/>
              <w:right w:val="single" w:color="auto" w:sz="4" w:space="0"/>
            </w:tcBorders>
            <w:textDirection w:val="tbRlV"/>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加工</w:t>
            </w: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21、食品加工应做到流程合理，操作规范</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现场查看</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不符合要求的每次扣款500元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不符合要求每次扣1分</w:t>
            </w:r>
          </w:p>
        </w:tc>
      </w:tr>
      <w:tr>
        <w:tblPrEx>
          <w:tblCellMar>
            <w:top w:w="0" w:type="dxa"/>
            <w:left w:w="108" w:type="dxa"/>
            <w:bottom w:w="0" w:type="dxa"/>
            <w:right w:w="108" w:type="dxa"/>
          </w:tblCellMar>
        </w:tblPrEx>
        <w:trPr>
          <w:trHeight w:val="72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22、各类主副食应按照规范的配比标准加工（具体配比标准按照学校相关要求执行）</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现场抽检</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不符合要求的每一品种扣款500元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不符合要求每次扣1分</w:t>
            </w:r>
          </w:p>
        </w:tc>
      </w:tr>
      <w:tr>
        <w:tblPrEx>
          <w:tblCellMar>
            <w:top w:w="0" w:type="dxa"/>
            <w:left w:w="108" w:type="dxa"/>
            <w:bottom w:w="0" w:type="dxa"/>
            <w:right w:w="108" w:type="dxa"/>
          </w:tblCellMar>
        </w:tblPrEx>
        <w:trPr>
          <w:trHeight w:val="7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23、凉菜应由专间、专人和专用设施设备加工，凉菜间应安装空调</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不符合要求的每项每次扣款500元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不符合要求每次扣1分</w:t>
            </w:r>
          </w:p>
        </w:tc>
      </w:tr>
      <w:tr>
        <w:tblPrEx>
          <w:tblCellMar>
            <w:top w:w="0" w:type="dxa"/>
            <w:left w:w="108" w:type="dxa"/>
            <w:bottom w:w="0" w:type="dxa"/>
            <w:right w:w="108" w:type="dxa"/>
          </w:tblCellMar>
        </w:tblPrEx>
        <w:trPr>
          <w:trHeight w:val="915"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24、加工生、熟、荤、素食品应做到用具分开、整洁、严格消毒、摆放整齐</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不符合要求的每次扣款500元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不符合要求每次扣1分</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25、餐饮具使用前应要规范消毒</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不符合要求的每次扣款500元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不符合要求每次扣1分</w:t>
            </w:r>
          </w:p>
        </w:tc>
      </w:tr>
      <w:tr>
        <w:tblPrEx>
          <w:tblCellMar>
            <w:top w:w="0" w:type="dxa"/>
            <w:left w:w="108" w:type="dxa"/>
            <w:bottom w:w="0" w:type="dxa"/>
            <w:right w:w="108" w:type="dxa"/>
          </w:tblCellMar>
        </w:tblPrEx>
        <w:trPr>
          <w:trHeight w:val="72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26、从业人员应养成良好卫生习惯，工作场所不吸烟，不随地吐痰，不戴首饰上岗，长发不外露；所有人员必须穿食堂标准工作服；工作服不得穿到食堂之外的区域</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不符合要求的每人次扣款200元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不符合要求每次扣1分</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27、按规定进行菜品留样</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不符合要求的每次扣款500元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不符合要求每次扣2分</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28、食堂应有防鼠、防蚊蝇、防蟑螂及防尘措施并做到定期消毒</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不符合要求的每次扣款500元。发现鼠迹，每次扣款2000元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不符合要求每次扣1分。发现鼠迹，每次扣4分</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restart"/>
            <w:tcBorders>
              <w:top w:val="nil"/>
              <w:left w:val="single" w:color="auto" w:sz="4" w:space="0"/>
              <w:bottom w:val="single" w:color="auto" w:sz="4" w:space="0"/>
              <w:right w:val="single" w:color="auto" w:sz="4" w:space="0"/>
            </w:tcBorders>
            <w:textDirection w:val="tbRlV"/>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出售</w:t>
            </w: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29、主要饭菜类应明码实价，菜牌齐全</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不符合要求的每项扣款500元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不符合要求每次扣2分</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30、在正常就餐时期，品种应按学校要求执行，荤素搭配合理</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不符合要求的扣款（学校要求数-实际菜品数）*500元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不符合要求每次扣1分</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31、不应出售夹生、未熟或变质食品，饭菜中应无泥沙、钢丝等杂物。不得收取现金或转账。食堂不得经营超市，不得售卖海鲜，如条件不允许不得售卖凉菜</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投诉核实</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食品问题查实后每次扣款500元。收取现金或转账查实后每次扣款500元。如超出经营范围每次扣款不低于2000元。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不符合要求每次扣1分</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32、餐厅内外、厨房、操作间、库房等场所应保持整洁</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不符合要求的每项扣款500元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不符合要求每次扣1分</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2651"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33、食堂内外应设置带盖的垃圾桶，并及时按照相关规定进行规范处置垃圾，不得将餐厨垃圾私自处理</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single" w:color="auto" w:sz="4" w:space="0"/>
              <w:right w:val="single" w:color="auto" w:sz="4" w:space="0"/>
            </w:tcBorders>
            <w:vAlign w:val="center"/>
          </w:tcPr>
          <w:p>
            <w:pPr>
              <w:widowControl/>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不符合要求的每项扣款500元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不符合要求每次扣1分</w:t>
            </w:r>
          </w:p>
        </w:tc>
      </w:tr>
      <w:tr>
        <w:tblPrEx>
          <w:tblCellMar>
            <w:top w:w="0" w:type="dxa"/>
            <w:left w:w="108" w:type="dxa"/>
            <w:bottom w:w="0" w:type="dxa"/>
            <w:right w:w="108" w:type="dxa"/>
          </w:tblCellMar>
        </w:tblPrEx>
        <w:trPr>
          <w:trHeight w:val="645" w:hRule="atLeast"/>
        </w:trPr>
        <w:tc>
          <w:tcPr>
            <w:tcW w:w="499" w:type="dxa"/>
            <w:vMerge w:val="restart"/>
            <w:tcBorders>
              <w:top w:val="nil"/>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三</w:t>
            </w:r>
          </w:p>
        </w:tc>
        <w:tc>
          <w:tcPr>
            <w:tcW w:w="579" w:type="dxa"/>
            <w:vMerge w:val="restart"/>
            <w:tcBorders>
              <w:top w:val="nil"/>
              <w:left w:val="single" w:color="auto" w:sz="4" w:space="0"/>
              <w:bottom w:val="nil"/>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服务质量</w:t>
            </w:r>
          </w:p>
        </w:tc>
        <w:tc>
          <w:tcPr>
            <w:tcW w:w="3185" w:type="dxa"/>
            <w:gridSpan w:val="2"/>
            <w:tcBorders>
              <w:top w:val="single" w:color="auto" w:sz="4" w:space="0"/>
              <w:left w:val="nil"/>
              <w:bottom w:val="nil"/>
              <w:right w:val="single" w:color="000000"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34、应统一着装，仪表端庄，挂牌、戴口罩上岗</w:t>
            </w:r>
          </w:p>
        </w:tc>
        <w:tc>
          <w:tcPr>
            <w:tcW w:w="709" w:type="dxa"/>
            <w:tcBorders>
              <w:top w:val="nil"/>
              <w:left w:val="nil"/>
              <w:bottom w:val="nil"/>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nil"/>
              <w:left w:val="nil"/>
              <w:bottom w:val="nil"/>
              <w:right w:val="single" w:color="auto"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不符合要求每人次扣款500元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不符合要求每次扣1分</w:t>
            </w:r>
          </w:p>
        </w:tc>
      </w:tr>
      <w:tr>
        <w:tblPrEx>
          <w:tblCellMar>
            <w:top w:w="0" w:type="dxa"/>
            <w:left w:w="108" w:type="dxa"/>
            <w:bottom w:w="0" w:type="dxa"/>
            <w:right w:w="108" w:type="dxa"/>
          </w:tblCellMar>
        </w:tblPrEx>
        <w:trPr>
          <w:trHeight w:val="555" w:hRule="atLeast"/>
        </w:trPr>
        <w:tc>
          <w:tcPr>
            <w:tcW w:w="49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nil"/>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3185" w:type="dxa"/>
            <w:gridSpan w:val="2"/>
            <w:tcBorders>
              <w:top w:val="single" w:color="auto" w:sz="4" w:space="0"/>
              <w:left w:val="nil"/>
              <w:bottom w:val="single" w:color="auto" w:sz="4" w:space="0"/>
              <w:right w:val="single" w:color="000000"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35、应做到服务及操作程序规范，态度端正，主动热情，文明用语，不和学生发生争吵及正面冲突</w:t>
            </w:r>
          </w:p>
        </w:tc>
        <w:tc>
          <w:tcPr>
            <w:tcW w:w="709" w:type="dxa"/>
            <w:tcBorders>
              <w:top w:val="single" w:color="auto" w:sz="4" w:space="0"/>
              <w:left w:val="nil"/>
              <w:bottom w:val="nil"/>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核实投诉</w:t>
            </w:r>
          </w:p>
        </w:tc>
        <w:tc>
          <w:tcPr>
            <w:tcW w:w="2976" w:type="dxa"/>
            <w:tcBorders>
              <w:top w:val="single" w:color="auto" w:sz="4" w:space="0"/>
              <w:left w:val="nil"/>
              <w:bottom w:val="nil"/>
              <w:right w:val="single" w:color="auto"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查实后每次扣款500元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不符合要求每次扣2分</w:t>
            </w:r>
          </w:p>
        </w:tc>
      </w:tr>
      <w:tr>
        <w:tblPrEx>
          <w:tblCellMar>
            <w:top w:w="0" w:type="dxa"/>
            <w:left w:w="108" w:type="dxa"/>
            <w:bottom w:w="0" w:type="dxa"/>
            <w:right w:w="108" w:type="dxa"/>
          </w:tblCellMar>
        </w:tblPrEx>
        <w:trPr>
          <w:trHeight w:val="510" w:hRule="atLeast"/>
        </w:trPr>
        <w:tc>
          <w:tcPr>
            <w:tcW w:w="49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nil"/>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3185" w:type="dxa"/>
            <w:gridSpan w:val="2"/>
            <w:tcBorders>
              <w:top w:val="single" w:color="auto" w:sz="4" w:space="0"/>
              <w:left w:val="nil"/>
              <w:bottom w:val="nil"/>
              <w:right w:val="single" w:color="000000"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36、应及时处理就餐者投诉意见、建议，过程有记录</w:t>
            </w:r>
          </w:p>
        </w:tc>
        <w:tc>
          <w:tcPr>
            <w:tcW w:w="709" w:type="dxa"/>
            <w:tcBorders>
              <w:top w:val="single" w:color="auto" w:sz="4" w:space="0"/>
              <w:left w:val="nil"/>
              <w:bottom w:val="nil"/>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single" w:color="auto" w:sz="4" w:space="0"/>
              <w:left w:val="nil"/>
              <w:bottom w:val="nil"/>
              <w:right w:val="single" w:color="auto"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未处理投诉每次每件扣款500元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不符合要求每次扣1分</w:t>
            </w:r>
          </w:p>
        </w:tc>
      </w:tr>
      <w:tr>
        <w:tblPrEx>
          <w:tblCellMar>
            <w:top w:w="0" w:type="dxa"/>
            <w:left w:w="108" w:type="dxa"/>
            <w:bottom w:w="0" w:type="dxa"/>
            <w:right w:w="108" w:type="dxa"/>
          </w:tblCellMar>
        </w:tblPrEx>
        <w:trPr>
          <w:trHeight w:val="645" w:hRule="atLeast"/>
        </w:trPr>
        <w:tc>
          <w:tcPr>
            <w:tcW w:w="49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nil"/>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3185" w:type="dxa"/>
            <w:gridSpan w:val="2"/>
            <w:tcBorders>
              <w:top w:val="single" w:color="auto" w:sz="4" w:space="0"/>
              <w:left w:val="nil"/>
              <w:bottom w:val="single" w:color="auto" w:sz="4" w:space="0"/>
              <w:right w:val="single" w:color="000000"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37、应在中、晚餐供应期间向就餐者提供免费汤，并派专人负责管理</w:t>
            </w:r>
          </w:p>
        </w:tc>
        <w:tc>
          <w:tcPr>
            <w:tcW w:w="709" w:type="dxa"/>
            <w:tcBorders>
              <w:top w:val="single" w:color="auto" w:sz="4" w:space="0"/>
              <w:left w:val="nil"/>
              <w:bottom w:val="nil"/>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single" w:color="auto" w:sz="4" w:space="0"/>
              <w:left w:val="nil"/>
              <w:bottom w:val="nil"/>
              <w:right w:val="single" w:color="auto"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不符合要求的每项扣款500元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不符合要求每次扣1分</w:t>
            </w:r>
          </w:p>
        </w:tc>
      </w:tr>
      <w:tr>
        <w:tblPrEx>
          <w:tblCellMar>
            <w:top w:w="0" w:type="dxa"/>
            <w:left w:w="108" w:type="dxa"/>
            <w:bottom w:w="0" w:type="dxa"/>
            <w:right w:w="108" w:type="dxa"/>
          </w:tblCellMar>
        </w:tblPrEx>
        <w:trPr>
          <w:trHeight w:val="600" w:hRule="atLeast"/>
        </w:trPr>
        <w:tc>
          <w:tcPr>
            <w:tcW w:w="49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nil"/>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3185" w:type="dxa"/>
            <w:gridSpan w:val="2"/>
            <w:tcBorders>
              <w:top w:val="single" w:color="auto" w:sz="4" w:space="0"/>
              <w:left w:val="nil"/>
              <w:bottom w:val="single" w:color="auto" w:sz="4" w:space="0"/>
              <w:right w:val="single" w:color="000000"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38、应在食堂明显位置设有就餐投诉台(或设立意见箱、意见薄)</w:t>
            </w:r>
          </w:p>
        </w:tc>
        <w:tc>
          <w:tcPr>
            <w:tcW w:w="709" w:type="dxa"/>
            <w:tcBorders>
              <w:top w:val="single" w:color="auto" w:sz="4" w:space="0"/>
              <w:left w:val="nil"/>
              <w:bottom w:val="nil"/>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single" w:color="auto" w:sz="4" w:space="0"/>
              <w:left w:val="nil"/>
              <w:bottom w:val="nil"/>
              <w:right w:val="single" w:color="auto"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不符合要求的每项扣款500元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不符合要求每次扣1分</w:t>
            </w:r>
          </w:p>
        </w:tc>
      </w:tr>
      <w:tr>
        <w:tblPrEx>
          <w:tblCellMar>
            <w:top w:w="0" w:type="dxa"/>
            <w:left w:w="108" w:type="dxa"/>
            <w:bottom w:w="0" w:type="dxa"/>
            <w:right w:w="108" w:type="dxa"/>
          </w:tblCellMar>
        </w:tblPrEx>
        <w:trPr>
          <w:trHeight w:val="615" w:hRule="atLeast"/>
        </w:trPr>
        <w:tc>
          <w:tcPr>
            <w:tcW w:w="49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nil"/>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3185" w:type="dxa"/>
            <w:gridSpan w:val="2"/>
            <w:tcBorders>
              <w:top w:val="single" w:color="auto" w:sz="4" w:space="0"/>
              <w:left w:val="nil"/>
              <w:bottom w:val="nil"/>
              <w:right w:val="single" w:color="000000"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39、应实行学生刷卡消费，售卖窗口严禁使用现金</w:t>
            </w:r>
          </w:p>
        </w:tc>
        <w:tc>
          <w:tcPr>
            <w:tcW w:w="709" w:type="dxa"/>
            <w:tcBorders>
              <w:top w:val="single" w:color="auto" w:sz="4" w:space="0"/>
              <w:left w:val="nil"/>
              <w:bottom w:val="nil"/>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single" w:color="auto" w:sz="4" w:space="0"/>
              <w:left w:val="nil"/>
              <w:bottom w:val="nil"/>
              <w:right w:val="single" w:color="auto"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发现使用现金每人次扣款500元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不符合要求每次扣1分</w:t>
            </w:r>
          </w:p>
        </w:tc>
      </w:tr>
      <w:tr>
        <w:tblPrEx>
          <w:tblCellMar>
            <w:top w:w="0" w:type="dxa"/>
            <w:left w:w="108" w:type="dxa"/>
            <w:bottom w:w="0" w:type="dxa"/>
            <w:right w:w="108" w:type="dxa"/>
          </w:tblCellMar>
        </w:tblPrEx>
        <w:trPr>
          <w:trHeight w:val="780" w:hRule="atLeast"/>
        </w:trPr>
        <w:tc>
          <w:tcPr>
            <w:tcW w:w="499" w:type="dxa"/>
            <w:vMerge w:val="restart"/>
            <w:tcBorders>
              <w:top w:val="nil"/>
              <w:left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四</w:t>
            </w:r>
          </w:p>
        </w:tc>
        <w:tc>
          <w:tcPr>
            <w:tcW w:w="579" w:type="dxa"/>
            <w:vMerge w:val="restart"/>
            <w:tcBorders>
              <w:top w:val="single" w:color="auto" w:sz="4" w:space="0"/>
              <w:left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经营秩序 </w:t>
            </w:r>
          </w:p>
        </w:tc>
        <w:tc>
          <w:tcPr>
            <w:tcW w:w="3185" w:type="dxa"/>
            <w:gridSpan w:val="2"/>
            <w:tcBorders>
              <w:top w:val="single" w:color="auto" w:sz="4" w:space="0"/>
              <w:left w:val="nil"/>
              <w:bottom w:val="nil"/>
              <w:right w:val="single" w:color="000000"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40、未经学校书面同意，食堂经营企业不得将食堂全部或者部分转租、转借或其他任意形式转交给任何单位或个人进行经营</w:t>
            </w:r>
          </w:p>
        </w:tc>
        <w:tc>
          <w:tcPr>
            <w:tcW w:w="709" w:type="dxa"/>
            <w:tcBorders>
              <w:top w:val="single" w:color="auto" w:sz="4" w:space="0"/>
              <w:left w:val="nil"/>
              <w:bottom w:val="nil"/>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依据合同</w:t>
            </w:r>
          </w:p>
        </w:tc>
        <w:tc>
          <w:tcPr>
            <w:tcW w:w="2976" w:type="dxa"/>
            <w:tcBorders>
              <w:top w:val="single" w:color="auto" w:sz="4" w:space="0"/>
              <w:left w:val="nil"/>
              <w:bottom w:val="nil"/>
              <w:right w:val="single" w:color="auto"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每次扣款50000元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按照合同执行</w:t>
            </w:r>
          </w:p>
        </w:tc>
      </w:tr>
      <w:tr>
        <w:tblPrEx>
          <w:tblCellMar>
            <w:top w:w="0" w:type="dxa"/>
            <w:left w:w="108" w:type="dxa"/>
            <w:bottom w:w="0" w:type="dxa"/>
            <w:right w:w="108" w:type="dxa"/>
          </w:tblCellMar>
        </w:tblPrEx>
        <w:trPr>
          <w:trHeight w:val="600" w:hRule="atLeast"/>
        </w:trPr>
        <w:tc>
          <w:tcPr>
            <w:tcW w:w="499" w:type="dxa"/>
            <w:vMerge w:val="continue"/>
            <w:tcBorders>
              <w:left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left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3185" w:type="dxa"/>
            <w:gridSpan w:val="2"/>
            <w:tcBorders>
              <w:top w:val="single" w:color="auto" w:sz="4" w:space="0"/>
              <w:left w:val="nil"/>
              <w:bottom w:val="single" w:color="auto" w:sz="4" w:space="0"/>
              <w:right w:val="single" w:color="000000"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41、应严格遵循学校统一制订的菜品价格，不得擅自修改</w:t>
            </w:r>
          </w:p>
        </w:tc>
        <w:tc>
          <w:tcPr>
            <w:tcW w:w="709" w:type="dxa"/>
            <w:tcBorders>
              <w:top w:val="single" w:color="auto" w:sz="4" w:space="0"/>
              <w:left w:val="nil"/>
              <w:bottom w:val="nil"/>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single" w:color="auto" w:sz="4" w:space="0"/>
              <w:left w:val="nil"/>
              <w:bottom w:val="nil"/>
              <w:right w:val="single" w:color="auto"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若擅自改动价格，每一菜品扣款5000元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不符合要求每次扣5分</w:t>
            </w:r>
          </w:p>
        </w:tc>
      </w:tr>
      <w:tr>
        <w:tblPrEx>
          <w:tblCellMar>
            <w:top w:w="0" w:type="dxa"/>
            <w:left w:w="108" w:type="dxa"/>
            <w:bottom w:w="0" w:type="dxa"/>
            <w:right w:w="108" w:type="dxa"/>
          </w:tblCellMar>
        </w:tblPrEx>
        <w:trPr>
          <w:trHeight w:val="630" w:hRule="atLeast"/>
        </w:trPr>
        <w:tc>
          <w:tcPr>
            <w:tcW w:w="499" w:type="dxa"/>
            <w:vMerge w:val="continue"/>
            <w:tcBorders>
              <w:left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left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3185" w:type="dxa"/>
            <w:gridSpan w:val="2"/>
            <w:tcBorders>
              <w:top w:val="single" w:color="auto" w:sz="4" w:space="0"/>
              <w:left w:val="nil"/>
              <w:bottom w:val="nil"/>
              <w:right w:val="single" w:color="000000"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42、应遵守合同约定，不得超范围进行经营</w:t>
            </w:r>
          </w:p>
        </w:tc>
        <w:tc>
          <w:tcPr>
            <w:tcW w:w="709" w:type="dxa"/>
            <w:tcBorders>
              <w:top w:val="single" w:color="auto" w:sz="4" w:space="0"/>
              <w:left w:val="nil"/>
              <w:bottom w:val="nil"/>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依据合同</w:t>
            </w:r>
          </w:p>
        </w:tc>
        <w:tc>
          <w:tcPr>
            <w:tcW w:w="2976" w:type="dxa"/>
            <w:tcBorders>
              <w:top w:val="single" w:color="auto" w:sz="4" w:space="0"/>
              <w:left w:val="nil"/>
              <w:bottom w:val="nil"/>
              <w:right w:val="single" w:color="auto"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超范围经营每次扣款10000元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不符合要求每次扣5分</w:t>
            </w:r>
          </w:p>
        </w:tc>
      </w:tr>
      <w:tr>
        <w:tblPrEx>
          <w:tblCellMar>
            <w:top w:w="0" w:type="dxa"/>
            <w:left w:w="108" w:type="dxa"/>
            <w:bottom w:w="0" w:type="dxa"/>
            <w:right w:w="108" w:type="dxa"/>
          </w:tblCellMar>
        </w:tblPrEx>
        <w:trPr>
          <w:trHeight w:val="1440" w:hRule="atLeast"/>
        </w:trPr>
        <w:tc>
          <w:tcPr>
            <w:tcW w:w="499" w:type="dxa"/>
            <w:vMerge w:val="continue"/>
            <w:tcBorders>
              <w:left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left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3185" w:type="dxa"/>
            <w:gridSpan w:val="2"/>
            <w:tcBorders>
              <w:top w:val="single" w:color="auto" w:sz="4" w:space="0"/>
              <w:left w:val="nil"/>
              <w:bottom w:val="single" w:color="auto" w:sz="4" w:space="0"/>
              <w:right w:val="single" w:color="000000" w:sz="4" w:space="0"/>
            </w:tcBorders>
            <w:vAlign w:val="center"/>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43、应按时向学生提供符合卫生要求的热菜热饭（早上6：00—9：00；中午11：00—14：00；晚上16：00—23：00）</w:t>
            </w:r>
          </w:p>
        </w:tc>
        <w:tc>
          <w:tcPr>
            <w:tcW w:w="709" w:type="dxa"/>
            <w:tcBorders>
              <w:top w:val="single" w:color="auto" w:sz="4" w:space="0"/>
              <w:left w:val="nil"/>
              <w:bottom w:val="nil"/>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依据合同</w:t>
            </w:r>
          </w:p>
        </w:tc>
        <w:tc>
          <w:tcPr>
            <w:tcW w:w="2976" w:type="dxa"/>
            <w:tcBorders>
              <w:top w:val="single" w:color="auto" w:sz="4" w:space="0"/>
              <w:left w:val="nil"/>
              <w:bottom w:val="nil"/>
              <w:right w:val="single" w:color="auto"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未经同意擅自关闭食堂的全部或部分经营窗口，每关闭一天扣款10000元，后勤基建管理处保留解除合同、取消成交人经营管理资格的权利。</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不符合要求每次扣1分</w:t>
            </w:r>
          </w:p>
        </w:tc>
      </w:tr>
      <w:tr>
        <w:tblPrEx>
          <w:tblCellMar>
            <w:top w:w="0" w:type="dxa"/>
            <w:left w:w="108" w:type="dxa"/>
            <w:bottom w:w="0" w:type="dxa"/>
            <w:right w:w="108" w:type="dxa"/>
          </w:tblCellMar>
        </w:tblPrEx>
        <w:trPr>
          <w:trHeight w:val="1440" w:hRule="atLeast"/>
        </w:trPr>
        <w:tc>
          <w:tcPr>
            <w:tcW w:w="499" w:type="dxa"/>
            <w:vMerge w:val="continue"/>
            <w:tcBorders>
              <w:left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left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3185" w:type="dxa"/>
            <w:gridSpan w:val="2"/>
            <w:tcBorders>
              <w:top w:val="single" w:color="auto" w:sz="4" w:space="0"/>
              <w:left w:val="nil"/>
              <w:bottom w:val="single" w:color="auto" w:sz="4" w:space="0"/>
              <w:right w:val="single" w:color="000000" w:sz="4" w:space="0"/>
            </w:tcBorders>
            <w:vAlign w:val="center"/>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w:t>
            </w:r>
            <w:r>
              <w:rPr>
                <w:rFonts w:ascii="宋体" w:hAnsi="宋体" w:eastAsia="宋体" w:cs="宋体"/>
                <w:kern w:val="0"/>
                <w:sz w:val="24"/>
                <w:szCs w:val="24"/>
                <w:highlight w:val="none"/>
              </w:rPr>
              <w:t>4</w:t>
            </w:r>
            <w:r>
              <w:rPr>
                <w:rFonts w:hint="eastAsia" w:ascii="宋体" w:hAnsi="宋体" w:eastAsia="宋体" w:cs="宋体"/>
                <w:kern w:val="0"/>
                <w:sz w:val="24"/>
                <w:szCs w:val="24"/>
                <w:highlight w:val="none"/>
              </w:rPr>
              <w:t>、月投料率不低于5</w:t>
            </w:r>
            <w:r>
              <w:rPr>
                <w:rFonts w:ascii="宋体" w:hAnsi="宋体" w:eastAsia="宋体" w:cs="宋体"/>
                <w:kern w:val="0"/>
                <w:sz w:val="24"/>
                <w:szCs w:val="24"/>
                <w:highlight w:val="none"/>
              </w:rPr>
              <w:t>0%</w:t>
            </w:r>
          </w:p>
        </w:tc>
        <w:tc>
          <w:tcPr>
            <w:tcW w:w="70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进销存系统</w:t>
            </w:r>
          </w:p>
        </w:tc>
        <w:tc>
          <w:tcPr>
            <w:tcW w:w="2976" w:type="dxa"/>
            <w:tcBorders>
              <w:top w:val="single" w:color="auto" w:sz="4" w:space="0"/>
              <w:left w:val="nil"/>
              <w:bottom w:val="single" w:color="auto" w:sz="4" w:space="0"/>
              <w:right w:val="single" w:color="auto"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出现一次，给予20000元的违约处罚。</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不符合要求每次扣6分。一个学期内，检查发现两次立即停业整顿。 </w:t>
            </w:r>
          </w:p>
        </w:tc>
      </w:tr>
      <w:tr>
        <w:tblPrEx>
          <w:tblCellMar>
            <w:top w:w="0" w:type="dxa"/>
            <w:left w:w="108" w:type="dxa"/>
            <w:bottom w:w="0" w:type="dxa"/>
            <w:right w:w="108" w:type="dxa"/>
          </w:tblCellMar>
        </w:tblPrEx>
        <w:trPr>
          <w:trHeight w:val="1440" w:hRule="atLeast"/>
        </w:trPr>
        <w:tc>
          <w:tcPr>
            <w:tcW w:w="499" w:type="dxa"/>
            <w:vMerge w:val="continue"/>
            <w:tcBorders>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3185" w:type="dxa"/>
            <w:gridSpan w:val="2"/>
            <w:tcBorders>
              <w:top w:val="single" w:color="auto" w:sz="4" w:space="0"/>
              <w:left w:val="nil"/>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w:t>
            </w:r>
            <w:r>
              <w:rPr>
                <w:rFonts w:ascii="宋体" w:hAnsi="宋体" w:eastAsia="宋体" w:cs="宋体"/>
                <w:kern w:val="0"/>
                <w:sz w:val="24"/>
                <w:szCs w:val="24"/>
                <w:highlight w:val="none"/>
              </w:rPr>
              <w:t>5</w:t>
            </w:r>
            <w:r>
              <w:rPr>
                <w:rFonts w:hint="eastAsia" w:ascii="宋体" w:hAnsi="宋体" w:eastAsia="宋体" w:cs="宋体"/>
                <w:kern w:val="0"/>
                <w:sz w:val="24"/>
                <w:szCs w:val="24"/>
                <w:highlight w:val="none"/>
              </w:rPr>
              <w:t>、大伙档口占比、大伙档口菜品种类和数量、价格，基本大伙餐月投料率未按合同执行</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出现一次，给予</w:t>
            </w:r>
            <w:r>
              <w:rPr>
                <w:rFonts w:ascii="宋体" w:hAnsi="宋体" w:eastAsia="宋体" w:cs="宋体"/>
                <w:kern w:val="0"/>
                <w:sz w:val="24"/>
                <w:szCs w:val="24"/>
                <w:highlight w:val="none"/>
              </w:rPr>
              <w:t>1</w:t>
            </w:r>
            <w:r>
              <w:rPr>
                <w:rFonts w:hint="eastAsia" w:ascii="宋体" w:hAnsi="宋体" w:eastAsia="宋体" w:cs="宋体"/>
                <w:kern w:val="0"/>
                <w:sz w:val="24"/>
                <w:szCs w:val="24"/>
                <w:highlight w:val="none"/>
              </w:rPr>
              <w:t>0000元的违约处罚。</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不符合要求每次扣6分。未达到合同要求，屡教不改的，后勤基建管理处保留解除合同、取消成交人经营管理资格的权利。</w:t>
            </w:r>
          </w:p>
        </w:tc>
      </w:tr>
      <w:tr>
        <w:tblPrEx>
          <w:tblCellMar>
            <w:top w:w="0" w:type="dxa"/>
            <w:left w:w="108" w:type="dxa"/>
            <w:bottom w:w="0" w:type="dxa"/>
            <w:right w:w="108" w:type="dxa"/>
          </w:tblCellMar>
        </w:tblPrEx>
        <w:trPr>
          <w:trHeight w:val="1440" w:hRule="atLeast"/>
        </w:trPr>
        <w:tc>
          <w:tcPr>
            <w:tcW w:w="499" w:type="dxa"/>
            <w:tcBorders>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tcBorders>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3185" w:type="dxa"/>
            <w:gridSpan w:val="2"/>
            <w:tcBorders>
              <w:top w:val="single" w:color="auto" w:sz="4" w:space="0"/>
              <w:left w:val="nil"/>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46、基本大伙餐分量未达合同要求的</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single" w:color="auto" w:sz="4" w:space="0"/>
              <w:left w:val="single" w:color="auto" w:sz="4" w:space="0"/>
              <w:bottom w:val="single" w:color="auto" w:sz="4" w:space="0"/>
              <w:right w:val="single" w:color="auto"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出现一次，给予500-1000元的违约处罚。</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未达到合同要求，屡教不改的，每次扣1分。</w:t>
            </w:r>
          </w:p>
        </w:tc>
      </w:tr>
      <w:tr>
        <w:tblPrEx>
          <w:tblCellMar>
            <w:top w:w="0" w:type="dxa"/>
            <w:left w:w="108" w:type="dxa"/>
            <w:bottom w:w="0" w:type="dxa"/>
            <w:right w:w="108" w:type="dxa"/>
          </w:tblCellMar>
        </w:tblPrEx>
        <w:trPr>
          <w:trHeight w:val="555" w:hRule="atLeast"/>
        </w:trPr>
        <w:tc>
          <w:tcPr>
            <w:tcW w:w="499" w:type="dxa"/>
            <w:vMerge w:val="restart"/>
            <w:tcBorders>
              <w:top w:val="nil"/>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五</w:t>
            </w:r>
          </w:p>
        </w:tc>
        <w:tc>
          <w:tcPr>
            <w:tcW w:w="579" w:type="dxa"/>
            <w:vMerge w:val="restart"/>
            <w:tcBorders>
              <w:top w:val="nil"/>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其他</w:t>
            </w:r>
          </w:p>
        </w:tc>
        <w:tc>
          <w:tcPr>
            <w:tcW w:w="3185" w:type="dxa"/>
            <w:gridSpan w:val="2"/>
            <w:tcBorders>
              <w:top w:val="single" w:color="auto" w:sz="4" w:space="0"/>
              <w:left w:val="nil"/>
              <w:bottom w:val="single" w:color="auto" w:sz="4" w:space="0"/>
              <w:right w:val="single" w:color="auto"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47、成交人应做到“门前三包”，保持清洁卫生</w:t>
            </w:r>
          </w:p>
        </w:tc>
        <w:tc>
          <w:tcPr>
            <w:tcW w:w="70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现场检查</w:t>
            </w:r>
          </w:p>
        </w:tc>
        <w:tc>
          <w:tcPr>
            <w:tcW w:w="2976" w:type="dxa"/>
            <w:tcBorders>
              <w:top w:val="single" w:color="auto" w:sz="4" w:space="0"/>
              <w:left w:val="nil"/>
              <w:bottom w:val="single" w:color="auto" w:sz="4" w:space="0"/>
              <w:right w:val="single" w:color="auto"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卫生出现脏、乱、差现象每次扣500元。</w:t>
            </w:r>
          </w:p>
        </w:tc>
        <w:tc>
          <w:tcPr>
            <w:tcW w:w="2552" w:type="dxa"/>
            <w:tcBorders>
              <w:top w:val="nil"/>
              <w:left w:val="nil"/>
              <w:bottom w:val="single" w:color="auto" w:sz="4" w:space="0"/>
              <w:right w:val="single" w:color="auto" w:sz="4" w:space="0"/>
            </w:tcBorders>
            <w:vAlign w:val="bottom"/>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不符合要求每次扣1分</w:t>
            </w:r>
          </w:p>
        </w:tc>
      </w:tr>
      <w:tr>
        <w:tblPrEx>
          <w:tblCellMar>
            <w:top w:w="0" w:type="dxa"/>
            <w:left w:w="108" w:type="dxa"/>
            <w:bottom w:w="0" w:type="dxa"/>
            <w:right w:w="108" w:type="dxa"/>
          </w:tblCellMar>
        </w:tblPrEx>
        <w:trPr>
          <w:trHeight w:val="1440" w:hRule="atLeast"/>
        </w:trPr>
        <w:tc>
          <w:tcPr>
            <w:tcW w:w="49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3185" w:type="dxa"/>
            <w:gridSpan w:val="2"/>
            <w:tcBorders>
              <w:top w:val="single" w:color="auto" w:sz="4" w:space="0"/>
              <w:left w:val="nil"/>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48、成交人应在装修方案经后勤基建管理处书面同意后可以对食堂进行装修</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依据合同</w:t>
            </w:r>
          </w:p>
        </w:tc>
        <w:tc>
          <w:tcPr>
            <w:tcW w:w="2976" w:type="dxa"/>
            <w:tcBorders>
              <w:top w:val="nil"/>
              <w:left w:val="nil"/>
              <w:bottom w:val="single" w:color="auto" w:sz="4" w:space="0"/>
              <w:right w:val="single" w:color="auto"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装修方案未经同意，后勤基建管理处有权要求成交人立即恢复原貌，并且给予50000元的违约处罚。成交人因装修产生的全部费用均由其自行承担。</w:t>
            </w:r>
          </w:p>
        </w:tc>
        <w:tc>
          <w:tcPr>
            <w:tcW w:w="2552" w:type="dxa"/>
            <w:tcBorders>
              <w:top w:val="nil"/>
              <w:left w:val="nil"/>
              <w:bottom w:val="single" w:color="auto" w:sz="4" w:space="0"/>
              <w:right w:val="single" w:color="auto"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按照合同执行</w:t>
            </w:r>
          </w:p>
        </w:tc>
      </w:tr>
      <w:tr>
        <w:tblPrEx>
          <w:tblCellMar>
            <w:top w:w="0" w:type="dxa"/>
            <w:left w:w="108" w:type="dxa"/>
            <w:bottom w:w="0" w:type="dxa"/>
            <w:right w:w="108" w:type="dxa"/>
          </w:tblCellMar>
        </w:tblPrEx>
        <w:trPr>
          <w:trHeight w:val="3072" w:hRule="atLeast"/>
        </w:trPr>
        <w:tc>
          <w:tcPr>
            <w:tcW w:w="49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3185" w:type="dxa"/>
            <w:gridSpan w:val="2"/>
            <w:tcBorders>
              <w:top w:val="single" w:color="auto" w:sz="4" w:space="0"/>
              <w:left w:val="nil"/>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49、成交人应在合同期满或合同期内解除合同时，立即停止经营，返还后勤基建管理处的设施、设备，并在合同期满之日（或解除合同之日）起七天（自然天数）内撤场。（内容包括将乙方所属物品、设施等全部搬离食堂，完成食堂内的清洁工作、保持场内原有设施设备的原状等</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依据合同</w:t>
            </w:r>
          </w:p>
        </w:tc>
        <w:tc>
          <w:tcPr>
            <w:tcW w:w="2976" w:type="dxa"/>
            <w:tcBorders>
              <w:top w:val="nil"/>
              <w:left w:val="nil"/>
              <w:bottom w:val="single" w:color="auto" w:sz="4" w:space="0"/>
              <w:right w:val="single" w:color="auto"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成交人逾期未撤场，视为其同意后勤基建管理处代其清除相关物品和设施，因此产生的费用及在清除物品、设施时产生的毁损、灭失的责任均由成交人自行承担。同时，成交人如果在合同期满或解除合同之日起七天内不按照约定完成撤场，学校将扣除成交人全部保证金50万元，所有场内物资设备由学校按无主进行处理，由此导致的一切经济损失和社会影响由成交人全权负责，学校保留诉诸法律的权力。</w:t>
            </w:r>
          </w:p>
        </w:tc>
        <w:tc>
          <w:tcPr>
            <w:tcW w:w="2552" w:type="dxa"/>
            <w:tcBorders>
              <w:top w:val="nil"/>
              <w:left w:val="nil"/>
              <w:bottom w:val="single" w:color="auto" w:sz="4" w:space="0"/>
              <w:right w:val="single" w:color="auto"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按照合同执行</w:t>
            </w:r>
          </w:p>
        </w:tc>
      </w:tr>
      <w:tr>
        <w:tblPrEx>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57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eastAsia="宋体" w:cs="宋体"/>
                <w:kern w:val="0"/>
                <w:sz w:val="24"/>
                <w:szCs w:val="24"/>
                <w:highlight w:val="none"/>
              </w:rPr>
            </w:pPr>
          </w:p>
        </w:tc>
        <w:tc>
          <w:tcPr>
            <w:tcW w:w="3185" w:type="dxa"/>
            <w:gridSpan w:val="2"/>
            <w:tcBorders>
              <w:top w:val="single" w:color="auto" w:sz="4" w:space="0"/>
              <w:left w:val="nil"/>
              <w:bottom w:val="single" w:color="auto" w:sz="4" w:space="0"/>
              <w:right w:val="single" w:color="auto"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50、根据学校情况下达的具体工作</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依据工作</w:t>
            </w:r>
          </w:p>
        </w:tc>
        <w:tc>
          <w:tcPr>
            <w:tcW w:w="2976" w:type="dxa"/>
            <w:tcBorders>
              <w:top w:val="nil"/>
              <w:left w:val="nil"/>
              <w:bottom w:val="single" w:color="auto" w:sz="4" w:space="0"/>
              <w:right w:val="single" w:color="auto"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视工作未完成情况每项予以不低于500元的扣款。</w:t>
            </w:r>
          </w:p>
        </w:tc>
        <w:tc>
          <w:tcPr>
            <w:tcW w:w="2552" w:type="dxa"/>
            <w:tcBorders>
              <w:top w:val="nil"/>
              <w:left w:val="nil"/>
              <w:bottom w:val="single" w:color="auto" w:sz="4" w:space="0"/>
              <w:right w:val="single" w:color="auto" w:sz="4" w:space="0"/>
            </w:tcBorders>
            <w:vAlign w:val="bottom"/>
          </w:tcPr>
          <w:p>
            <w:pPr>
              <w:widowControl/>
              <w:spacing w:line="276"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不符合要求每次扣1分及以上</w:t>
            </w:r>
          </w:p>
        </w:tc>
      </w:tr>
    </w:tbl>
    <w:p>
      <w:pPr>
        <w:spacing w:line="276" w:lineRule="auto"/>
        <w:ind w:firstLine="480" w:firstLineChars="200"/>
        <w:rPr>
          <w:rFonts w:ascii="宋体" w:hAnsi="宋体" w:eastAsia="宋体" w:cs="宋体"/>
          <w:sz w:val="24"/>
          <w:szCs w:val="24"/>
          <w:highlight w:val="none"/>
        </w:rPr>
      </w:pPr>
    </w:p>
    <w:p>
      <w:pPr>
        <w:spacing w:line="276" w:lineRule="auto"/>
        <w:ind w:left="-850" w:leftChars="-405"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备注：学校可根据实际情况随时对本办法进行修订，成交人须按修订后的办法执行。</w:t>
      </w:r>
    </w:p>
    <w:p>
      <w:pPr>
        <w:spacing w:line="276" w:lineRule="auto"/>
        <w:rPr>
          <w:rFonts w:ascii="宋体" w:hAnsi="宋体" w:eastAsia="宋体" w:cs="宋体"/>
          <w:sz w:val="24"/>
          <w:szCs w:val="24"/>
          <w:highlight w:val="none"/>
        </w:rPr>
      </w:pPr>
    </w:p>
    <w:p>
      <w:pPr>
        <w:spacing w:line="276" w:lineRule="auto"/>
        <w:rPr>
          <w:rFonts w:ascii="宋体" w:hAnsi="宋体" w:eastAsia="宋体" w:cs="宋体"/>
          <w:sz w:val="24"/>
          <w:szCs w:val="24"/>
          <w:highlight w:val="none"/>
        </w:rPr>
      </w:pPr>
    </w:p>
    <w:p>
      <w:pPr>
        <w:spacing w:line="276" w:lineRule="auto"/>
        <w:rPr>
          <w:rFonts w:ascii="宋体" w:hAnsi="宋体" w:eastAsia="宋体" w:cs="宋体"/>
          <w:sz w:val="24"/>
          <w:szCs w:val="24"/>
          <w:highlight w:val="none"/>
        </w:rPr>
      </w:pPr>
    </w:p>
    <w:p>
      <w:pPr>
        <w:spacing w:line="276" w:lineRule="auto"/>
        <w:rPr>
          <w:rFonts w:ascii="宋体" w:hAnsi="宋体" w:eastAsia="宋体" w:cs="宋体"/>
          <w:sz w:val="24"/>
          <w:szCs w:val="24"/>
          <w:highlight w:val="none"/>
        </w:rPr>
      </w:pPr>
    </w:p>
    <w:p>
      <w:pPr>
        <w:widowControl/>
        <w:jc w:val="left"/>
        <w:rPr>
          <w:rFonts w:ascii="宋体" w:hAnsi="宋体" w:eastAsia="宋体" w:cs="宋体"/>
          <w:sz w:val="24"/>
          <w:szCs w:val="24"/>
          <w:highlight w:val="none"/>
        </w:rPr>
      </w:pPr>
      <w:r>
        <w:rPr>
          <w:rFonts w:hint="eastAsia" w:ascii="宋体" w:hAnsi="宋体" w:eastAsia="宋体" w:cs="宋体"/>
          <w:sz w:val="24"/>
          <w:szCs w:val="24"/>
          <w:highlight w:val="none"/>
        </w:rPr>
        <w:br w:type="page"/>
      </w:r>
      <w:r>
        <w:rPr>
          <w:rFonts w:hint="eastAsia" w:ascii="宋体" w:hAnsi="宋体" w:cs="仿宋"/>
          <w:b/>
          <w:bCs/>
          <w:sz w:val="24"/>
          <w:szCs w:val="24"/>
          <w:highlight w:val="none"/>
        </w:rPr>
        <w:t>附件2</w:t>
      </w:r>
    </w:p>
    <w:p>
      <w:pPr>
        <w:spacing w:line="276" w:lineRule="auto"/>
        <w:jc w:val="center"/>
        <w:rPr>
          <w:rFonts w:ascii="宋体" w:hAnsi="宋体" w:cs="仿宋"/>
          <w:b/>
          <w:bCs/>
          <w:sz w:val="24"/>
          <w:szCs w:val="24"/>
          <w:highlight w:val="none"/>
        </w:rPr>
      </w:pPr>
      <w:r>
        <w:rPr>
          <w:rFonts w:hint="eastAsia" w:ascii="宋体" w:hAnsi="宋体" w:cs="仿宋"/>
          <w:b/>
          <w:bCs/>
          <w:sz w:val="24"/>
          <w:szCs w:val="24"/>
          <w:highlight w:val="none"/>
        </w:rPr>
        <w:t>四川外国语大学对社会企业参与学生食堂联合经营年度考核办法</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690"/>
        <w:gridCol w:w="2026"/>
        <w:gridCol w:w="899"/>
        <w:gridCol w:w="4067"/>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04" w:type="dxa"/>
            <w:vAlign w:val="center"/>
          </w:tcPr>
          <w:p>
            <w:pPr>
              <w:spacing w:line="276" w:lineRule="auto"/>
              <w:jc w:val="center"/>
              <w:rPr>
                <w:rFonts w:ascii="宋体" w:hAnsi="宋体" w:cs="宋体"/>
                <w:sz w:val="24"/>
                <w:szCs w:val="24"/>
                <w:highlight w:val="none"/>
              </w:rPr>
            </w:pPr>
            <w:r>
              <w:rPr>
                <w:rFonts w:hint="eastAsia" w:ascii="宋体" w:hAnsi="宋体" w:cs="宋体"/>
                <w:sz w:val="24"/>
                <w:szCs w:val="24"/>
                <w:highlight w:val="none"/>
              </w:rPr>
              <w:t>序号</w:t>
            </w:r>
          </w:p>
        </w:tc>
        <w:tc>
          <w:tcPr>
            <w:tcW w:w="709" w:type="dxa"/>
            <w:vAlign w:val="center"/>
          </w:tcPr>
          <w:p>
            <w:pPr>
              <w:spacing w:line="276" w:lineRule="auto"/>
              <w:jc w:val="center"/>
              <w:rPr>
                <w:rFonts w:ascii="宋体" w:hAnsi="宋体" w:cs="宋体"/>
                <w:sz w:val="24"/>
                <w:szCs w:val="24"/>
                <w:highlight w:val="none"/>
              </w:rPr>
            </w:pPr>
            <w:r>
              <w:rPr>
                <w:rFonts w:hint="eastAsia" w:ascii="宋体" w:hAnsi="宋体" w:cs="宋体"/>
                <w:sz w:val="24"/>
                <w:szCs w:val="24"/>
                <w:highlight w:val="none"/>
              </w:rPr>
              <w:t>考核项目</w:t>
            </w:r>
          </w:p>
        </w:tc>
        <w:tc>
          <w:tcPr>
            <w:tcW w:w="2126" w:type="dxa"/>
            <w:vAlign w:val="center"/>
          </w:tcPr>
          <w:p>
            <w:pPr>
              <w:spacing w:line="276" w:lineRule="auto"/>
              <w:jc w:val="center"/>
              <w:rPr>
                <w:rFonts w:ascii="宋体" w:hAnsi="宋体" w:cs="宋体"/>
                <w:sz w:val="24"/>
                <w:szCs w:val="24"/>
                <w:highlight w:val="none"/>
              </w:rPr>
            </w:pPr>
            <w:r>
              <w:rPr>
                <w:rFonts w:hint="eastAsia" w:ascii="宋体" w:hAnsi="宋体" w:cs="宋体"/>
                <w:sz w:val="24"/>
                <w:szCs w:val="24"/>
                <w:highlight w:val="none"/>
              </w:rPr>
              <w:t>考核内容</w:t>
            </w:r>
          </w:p>
        </w:tc>
        <w:tc>
          <w:tcPr>
            <w:tcW w:w="910" w:type="dxa"/>
            <w:vAlign w:val="center"/>
          </w:tcPr>
          <w:p>
            <w:pPr>
              <w:spacing w:line="276" w:lineRule="auto"/>
              <w:jc w:val="center"/>
              <w:rPr>
                <w:rFonts w:ascii="宋体" w:hAnsi="宋体" w:cs="宋体"/>
                <w:sz w:val="24"/>
                <w:szCs w:val="24"/>
                <w:highlight w:val="none"/>
              </w:rPr>
            </w:pPr>
            <w:r>
              <w:rPr>
                <w:rFonts w:hint="eastAsia" w:ascii="宋体" w:hAnsi="宋体" w:cs="宋体"/>
                <w:sz w:val="24"/>
                <w:szCs w:val="24"/>
                <w:highlight w:val="none"/>
              </w:rPr>
              <w:t>权重（%）</w:t>
            </w:r>
          </w:p>
        </w:tc>
        <w:tc>
          <w:tcPr>
            <w:tcW w:w="4306" w:type="dxa"/>
            <w:vAlign w:val="center"/>
          </w:tcPr>
          <w:p>
            <w:pPr>
              <w:spacing w:line="276" w:lineRule="auto"/>
              <w:jc w:val="center"/>
              <w:rPr>
                <w:rFonts w:ascii="宋体" w:hAnsi="宋体" w:cs="宋体"/>
                <w:sz w:val="24"/>
                <w:szCs w:val="24"/>
                <w:highlight w:val="none"/>
              </w:rPr>
            </w:pPr>
            <w:r>
              <w:rPr>
                <w:rFonts w:hint="eastAsia" w:ascii="宋体" w:hAnsi="宋体" w:cs="宋体"/>
                <w:sz w:val="24"/>
                <w:szCs w:val="24"/>
                <w:highlight w:val="none"/>
              </w:rPr>
              <w:t>考核标准</w:t>
            </w:r>
          </w:p>
        </w:tc>
        <w:tc>
          <w:tcPr>
            <w:tcW w:w="851" w:type="dxa"/>
            <w:vAlign w:val="center"/>
          </w:tcPr>
          <w:p>
            <w:pPr>
              <w:spacing w:line="276" w:lineRule="auto"/>
              <w:jc w:val="center"/>
              <w:rPr>
                <w:rFonts w:ascii="宋体" w:hAnsi="宋体" w:cs="宋体"/>
                <w:sz w:val="24"/>
                <w:szCs w:val="24"/>
                <w:highlight w:val="none"/>
              </w:rPr>
            </w:pPr>
            <w:r>
              <w:rPr>
                <w:rFonts w:hint="eastAsia" w:ascii="宋体" w:hAnsi="宋体" w:cs="宋体"/>
                <w:sz w:val="24"/>
                <w:szCs w:val="24"/>
                <w:highlight w:val="none"/>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704" w:type="dxa"/>
            <w:vMerge w:val="restart"/>
            <w:vAlign w:val="center"/>
          </w:tcPr>
          <w:p>
            <w:pPr>
              <w:jc w:val="center"/>
              <w:rPr>
                <w:rFonts w:ascii="宋体" w:hAnsi="宋体" w:cs="宋体"/>
                <w:sz w:val="24"/>
                <w:szCs w:val="24"/>
                <w:highlight w:val="none"/>
              </w:rPr>
            </w:pPr>
            <w:r>
              <w:rPr>
                <w:rFonts w:hint="eastAsia" w:ascii="宋体" w:hAnsi="宋体" w:cs="宋体"/>
                <w:sz w:val="24"/>
                <w:szCs w:val="24"/>
                <w:highlight w:val="none"/>
              </w:rPr>
              <w:t>1</w:t>
            </w:r>
          </w:p>
        </w:tc>
        <w:tc>
          <w:tcPr>
            <w:tcW w:w="709" w:type="dxa"/>
            <w:vMerge w:val="restart"/>
            <w:vAlign w:val="center"/>
          </w:tcPr>
          <w:p>
            <w:pPr>
              <w:jc w:val="center"/>
              <w:rPr>
                <w:rFonts w:ascii="宋体" w:hAnsi="宋体" w:cs="宋体"/>
                <w:sz w:val="24"/>
                <w:szCs w:val="24"/>
                <w:highlight w:val="none"/>
              </w:rPr>
            </w:pPr>
            <w:r>
              <w:rPr>
                <w:rFonts w:hint="eastAsia" w:ascii="宋体" w:hAnsi="宋体" w:cs="宋体"/>
                <w:sz w:val="24"/>
                <w:szCs w:val="24"/>
                <w:highlight w:val="none"/>
              </w:rPr>
              <w:t>师生满意度测评</w:t>
            </w:r>
          </w:p>
        </w:tc>
        <w:tc>
          <w:tcPr>
            <w:tcW w:w="2126" w:type="dxa"/>
            <w:vAlign w:val="center"/>
          </w:tcPr>
          <w:p>
            <w:pPr>
              <w:jc w:val="left"/>
              <w:rPr>
                <w:rFonts w:ascii="宋体" w:hAnsi="宋体" w:cs="宋体"/>
                <w:sz w:val="24"/>
                <w:szCs w:val="24"/>
                <w:highlight w:val="none"/>
              </w:rPr>
            </w:pPr>
            <w:r>
              <w:rPr>
                <w:rFonts w:hint="eastAsia" w:ascii="宋体" w:hAnsi="宋体" w:cs="宋体"/>
                <w:sz w:val="24"/>
                <w:szCs w:val="24"/>
                <w:highlight w:val="none"/>
              </w:rPr>
              <w:t>1.通过线上或线下方式发放满意度调查问卷（不少于200份）</w:t>
            </w:r>
          </w:p>
        </w:tc>
        <w:tc>
          <w:tcPr>
            <w:tcW w:w="910" w:type="dxa"/>
            <w:vAlign w:val="center"/>
          </w:tcPr>
          <w:p>
            <w:pPr>
              <w:jc w:val="center"/>
              <w:rPr>
                <w:rFonts w:ascii="宋体" w:hAnsi="宋体" w:cs="宋体"/>
                <w:sz w:val="24"/>
                <w:szCs w:val="24"/>
                <w:highlight w:val="none"/>
              </w:rPr>
            </w:pPr>
            <w:r>
              <w:rPr>
                <w:rFonts w:ascii="宋体" w:hAnsi="宋体" w:cs="宋体"/>
                <w:sz w:val="24"/>
                <w:szCs w:val="24"/>
                <w:highlight w:val="none"/>
              </w:rPr>
              <w:t>10</w:t>
            </w:r>
          </w:p>
        </w:tc>
        <w:tc>
          <w:tcPr>
            <w:tcW w:w="4306" w:type="dxa"/>
            <w:vAlign w:val="center"/>
          </w:tcPr>
          <w:p>
            <w:pPr>
              <w:rPr>
                <w:rFonts w:ascii="宋体" w:hAnsi="宋体" w:cs="宋体"/>
                <w:sz w:val="24"/>
                <w:szCs w:val="24"/>
                <w:highlight w:val="none"/>
              </w:rPr>
            </w:pPr>
            <w:r>
              <w:rPr>
                <w:rFonts w:hint="eastAsia" w:ascii="宋体" w:hAnsi="宋体" w:cs="宋体"/>
                <w:sz w:val="24"/>
                <w:szCs w:val="24"/>
                <w:highlight w:val="none"/>
              </w:rPr>
              <w:t>1.师生满意度调查问卷，满分100分，以平均分为考核依据。平均分≥95分，得</w:t>
            </w:r>
            <w:r>
              <w:rPr>
                <w:rFonts w:ascii="宋体" w:hAnsi="宋体" w:cs="宋体"/>
                <w:sz w:val="24"/>
                <w:szCs w:val="24"/>
                <w:highlight w:val="none"/>
              </w:rPr>
              <w:t>10</w:t>
            </w:r>
            <w:r>
              <w:rPr>
                <w:rFonts w:hint="eastAsia" w:ascii="宋体" w:hAnsi="宋体" w:cs="宋体"/>
                <w:sz w:val="24"/>
                <w:szCs w:val="24"/>
                <w:highlight w:val="none"/>
              </w:rPr>
              <w:t>分； 95分&gt;平均分≥90分，得</w:t>
            </w:r>
            <w:r>
              <w:rPr>
                <w:rFonts w:ascii="宋体" w:hAnsi="宋体" w:cs="宋体"/>
                <w:sz w:val="24"/>
                <w:szCs w:val="24"/>
                <w:highlight w:val="none"/>
              </w:rPr>
              <w:t>8</w:t>
            </w:r>
            <w:r>
              <w:rPr>
                <w:rFonts w:hint="eastAsia" w:ascii="宋体" w:hAnsi="宋体" w:cs="宋体"/>
                <w:sz w:val="24"/>
                <w:szCs w:val="24"/>
                <w:highlight w:val="none"/>
              </w:rPr>
              <w:t>分； 90分&gt;平均分≥85分，得</w:t>
            </w:r>
            <w:r>
              <w:rPr>
                <w:rFonts w:ascii="宋体" w:hAnsi="宋体" w:cs="宋体"/>
                <w:sz w:val="24"/>
                <w:szCs w:val="24"/>
                <w:highlight w:val="none"/>
              </w:rPr>
              <w:t>6</w:t>
            </w:r>
            <w:r>
              <w:rPr>
                <w:rFonts w:hint="eastAsia" w:ascii="宋体" w:hAnsi="宋体" w:cs="宋体"/>
                <w:sz w:val="24"/>
                <w:szCs w:val="24"/>
                <w:highlight w:val="none"/>
              </w:rPr>
              <w:t>分；平均分&lt;85分，得0分</w:t>
            </w:r>
          </w:p>
        </w:tc>
        <w:tc>
          <w:tcPr>
            <w:tcW w:w="851" w:type="dxa"/>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704" w:type="dxa"/>
            <w:vMerge w:val="continue"/>
          </w:tcPr>
          <w:p>
            <w:pPr>
              <w:jc w:val="center"/>
              <w:rPr>
                <w:rFonts w:ascii="宋体" w:hAnsi="宋体" w:cs="宋体"/>
                <w:sz w:val="24"/>
                <w:szCs w:val="24"/>
                <w:highlight w:val="none"/>
              </w:rPr>
            </w:pPr>
          </w:p>
        </w:tc>
        <w:tc>
          <w:tcPr>
            <w:tcW w:w="709" w:type="dxa"/>
            <w:vMerge w:val="continue"/>
          </w:tcPr>
          <w:p>
            <w:pPr>
              <w:jc w:val="center"/>
              <w:rPr>
                <w:rFonts w:ascii="宋体" w:hAnsi="宋体" w:cs="宋体"/>
                <w:sz w:val="24"/>
                <w:szCs w:val="24"/>
                <w:highlight w:val="none"/>
              </w:rPr>
            </w:pPr>
          </w:p>
        </w:tc>
        <w:tc>
          <w:tcPr>
            <w:tcW w:w="2126" w:type="dxa"/>
            <w:vAlign w:val="center"/>
          </w:tcPr>
          <w:p>
            <w:pPr>
              <w:jc w:val="left"/>
              <w:rPr>
                <w:rFonts w:ascii="宋体" w:hAnsi="宋体" w:cs="宋体"/>
                <w:sz w:val="24"/>
                <w:szCs w:val="24"/>
                <w:highlight w:val="none"/>
              </w:rPr>
            </w:pPr>
            <w:r>
              <w:rPr>
                <w:rFonts w:hint="eastAsia" w:ascii="宋体" w:hAnsi="宋体" w:cs="宋体"/>
                <w:sz w:val="24"/>
                <w:szCs w:val="24"/>
                <w:highlight w:val="none"/>
              </w:rPr>
              <w:t>2.考核小组现场填写满意度调查问卷</w:t>
            </w:r>
          </w:p>
        </w:tc>
        <w:tc>
          <w:tcPr>
            <w:tcW w:w="910" w:type="dxa"/>
            <w:vAlign w:val="center"/>
          </w:tcPr>
          <w:p>
            <w:pPr>
              <w:jc w:val="center"/>
              <w:rPr>
                <w:rFonts w:ascii="宋体" w:hAnsi="宋体" w:cs="宋体"/>
                <w:sz w:val="24"/>
                <w:szCs w:val="24"/>
                <w:highlight w:val="none"/>
              </w:rPr>
            </w:pPr>
            <w:r>
              <w:rPr>
                <w:rFonts w:ascii="宋体" w:hAnsi="宋体" w:cs="宋体"/>
                <w:sz w:val="24"/>
                <w:szCs w:val="24"/>
                <w:highlight w:val="none"/>
              </w:rPr>
              <w:t>10</w:t>
            </w:r>
          </w:p>
        </w:tc>
        <w:tc>
          <w:tcPr>
            <w:tcW w:w="4306" w:type="dxa"/>
            <w:vAlign w:val="center"/>
          </w:tcPr>
          <w:p>
            <w:pPr>
              <w:rPr>
                <w:rFonts w:ascii="宋体" w:hAnsi="宋体" w:cs="宋体"/>
                <w:sz w:val="24"/>
                <w:szCs w:val="24"/>
                <w:highlight w:val="none"/>
              </w:rPr>
            </w:pPr>
            <w:r>
              <w:rPr>
                <w:rFonts w:hint="eastAsia" w:ascii="宋体" w:hAnsi="宋体" w:cs="宋体"/>
                <w:sz w:val="24"/>
                <w:szCs w:val="24"/>
                <w:highlight w:val="none"/>
              </w:rPr>
              <w:t>2.考核小组现场填写师生满意度调查问卷，满分100分，以平均分为考核依据。平均分≥95分，得</w:t>
            </w:r>
            <w:r>
              <w:rPr>
                <w:rFonts w:ascii="宋体" w:hAnsi="宋体" w:cs="宋体"/>
                <w:sz w:val="24"/>
                <w:szCs w:val="24"/>
                <w:highlight w:val="none"/>
              </w:rPr>
              <w:t>10</w:t>
            </w:r>
            <w:r>
              <w:rPr>
                <w:rFonts w:hint="eastAsia" w:ascii="宋体" w:hAnsi="宋体" w:cs="宋体"/>
                <w:sz w:val="24"/>
                <w:szCs w:val="24"/>
                <w:highlight w:val="none"/>
              </w:rPr>
              <w:t>分； 95分&gt;平均分≥90分，得</w:t>
            </w:r>
            <w:r>
              <w:rPr>
                <w:rFonts w:ascii="宋体" w:hAnsi="宋体" w:cs="宋体"/>
                <w:sz w:val="24"/>
                <w:szCs w:val="24"/>
                <w:highlight w:val="none"/>
              </w:rPr>
              <w:t>8</w:t>
            </w:r>
            <w:r>
              <w:rPr>
                <w:rFonts w:hint="eastAsia" w:ascii="宋体" w:hAnsi="宋体" w:cs="宋体"/>
                <w:sz w:val="24"/>
                <w:szCs w:val="24"/>
                <w:highlight w:val="none"/>
              </w:rPr>
              <w:t>分； 90分&gt;平均分≥85分，得</w:t>
            </w:r>
            <w:r>
              <w:rPr>
                <w:rFonts w:ascii="宋体" w:hAnsi="宋体" w:cs="宋体"/>
                <w:sz w:val="24"/>
                <w:szCs w:val="24"/>
                <w:highlight w:val="none"/>
              </w:rPr>
              <w:t>6</w:t>
            </w:r>
            <w:r>
              <w:rPr>
                <w:rFonts w:hint="eastAsia" w:ascii="宋体" w:hAnsi="宋体" w:cs="宋体"/>
                <w:sz w:val="24"/>
                <w:szCs w:val="24"/>
                <w:highlight w:val="none"/>
              </w:rPr>
              <w:t>分；平均分&lt;85分，得0分</w:t>
            </w:r>
          </w:p>
        </w:tc>
        <w:tc>
          <w:tcPr>
            <w:tcW w:w="851" w:type="dxa"/>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cs="宋体"/>
                <w:sz w:val="24"/>
                <w:szCs w:val="24"/>
                <w:highlight w:val="none"/>
              </w:rPr>
            </w:pPr>
            <w:r>
              <w:rPr>
                <w:rFonts w:hint="eastAsia" w:ascii="宋体" w:hAnsi="宋体" w:cs="宋体"/>
                <w:sz w:val="24"/>
                <w:szCs w:val="24"/>
                <w:highlight w:val="none"/>
              </w:rPr>
              <w:t>2</w:t>
            </w:r>
          </w:p>
        </w:tc>
        <w:tc>
          <w:tcPr>
            <w:tcW w:w="709" w:type="dxa"/>
            <w:vAlign w:val="center"/>
          </w:tcPr>
          <w:p>
            <w:pPr>
              <w:jc w:val="center"/>
              <w:rPr>
                <w:rFonts w:ascii="宋体" w:hAnsi="宋体" w:cs="宋体"/>
                <w:sz w:val="24"/>
                <w:szCs w:val="24"/>
                <w:highlight w:val="none"/>
              </w:rPr>
            </w:pPr>
            <w:r>
              <w:rPr>
                <w:rFonts w:hint="eastAsia" w:ascii="宋体" w:hAnsi="宋体" w:cs="宋体"/>
                <w:sz w:val="24"/>
                <w:szCs w:val="24"/>
                <w:highlight w:val="none"/>
              </w:rPr>
              <w:t>日常监管</w:t>
            </w:r>
          </w:p>
        </w:tc>
        <w:tc>
          <w:tcPr>
            <w:tcW w:w="2126" w:type="dxa"/>
            <w:vAlign w:val="center"/>
          </w:tcPr>
          <w:p>
            <w:pPr>
              <w:jc w:val="left"/>
              <w:rPr>
                <w:rFonts w:ascii="宋体" w:hAnsi="宋体" w:cs="宋体"/>
                <w:sz w:val="24"/>
                <w:szCs w:val="24"/>
                <w:highlight w:val="none"/>
              </w:rPr>
            </w:pPr>
            <w:r>
              <w:rPr>
                <w:rFonts w:hint="eastAsia" w:ascii="宋体" w:hAnsi="宋体" w:cs="宋体"/>
                <w:sz w:val="24"/>
                <w:szCs w:val="24"/>
                <w:highlight w:val="none"/>
              </w:rPr>
              <w:t>《四川外国语大学对社会企业参与学生食堂联合经营日常考核实施细则》约定的考核内容</w:t>
            </w:r>
          </w:p>
        </w:tc>
        <w:tc>
          <w:tcPr>
            <w:tcW w:w="910" w:type="dxa"/>
            <w:vAlign w:val="center"/>
          </w:tcPr>
          <w:p>
            <w:pPr>
              <w:jc w:val="center"/>
              <w:rPr>
                <w:rFonts w:ascii="宋体" w:hAnsi="宋体" w:cs="宋体"/>
                <w:sz w:val="24"/>
                <w:szCs w:val="24"/>
                <w:highlight w:val="none"/>
              </w:rPr>
            </w:pPr>
            <w:r>
              <w:rPr>
                <w:rFonts w:ascii="宋体" w:hAnsi="宋体" w:cs="宋体"/>
                <w:sz w:val="24"/>
                <w:szCs w:val="24"/>
                <w:highlight w:val="none"/>
              </w:rPr>
              <w:t>60</w:t>
            </w:r>
          </w:p>
        </w:tc>
        <w:tc>
          <w:tcPr>
            <w:tcW w:w="4306" w:type="dxa"/>
            <w:vAlign w:val="center"/>
          </w:tcPr>
          <w:p>
            <w:pPr>
              <w:rPr>
                <w:rFonts w:ascii="宋体" w:hAnsi="宋体" w:cs="宋体"/>
                <w:sz w:val="24"/>
                <w:szCs w:val="24"/>
                <w:highlight w:val="none"/>
              </w:rPr>
            </w:pPr>
            <w:r>
              <w:rPr>
                <w:rFonts w:hint="eastAsia" w:ascii="宋体" w:hAnsi="宋体" w:cs="宋体"/>
                <w:sz w:val="24"/>
                <w:szCs w:val="24"/>
                <w:highlight w:val="none"/>
              </w:rPr>
              <w:t>根据《四川外国语大学对社会企业参与学生食堂联合经营日常考核实施细则》（见附件1），后勤基建管理处对引入餐饮企业进行日常监管考核，根据考核标准进行打分。</w:t>
            </w:r>
          </w:p>
        </w:tc>
        <w:tc>
          <w:tcPr>
            <w:tcW w:w="851" w:type="dxa"/>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cs="宋体"/>
                <w:sz w:val="24"/>
                <w:szCs w:val="24"/>
                <w:highlight w:val="none"/>
              </w:rPr>
            </w:pPr>
            <w:r>
              <w:rPr>
                <w:rFonts w:hint="eastAsia" w:ascii="宋体" w:hAnsi="宋体" w:cs="宋体"/>
                <w:sz w:val="24"/>
                <w:szCs w:val="24"/>
                <w:highlight w:val="none"/>
              </w:rPr>
              <w:t>3</w:t>
            </w:r>
          </w:p>
        </w:tc>
        <w:tc>
          <w:tcPr>
            <w:tcW w:w="709" w:type="dxa"/>
            <w:vAlign w:val="center"/>
          </w:tcPr>
          <w:p>
            <w:pPr>
              <w:jc w:val="center"/>
              <w:rPr>
                <w:rFonts w:ascii="宋体" w:hAnsi="宋体" w:cs="宋体"/>
                <w:sz w:val="24"/>
                <w:szCs w:val="24"/>
                <w:highlight w:val="none"/>
              </w:rPr>
            </w:pPr>
            <w:r>
              <w:rPr>
                <w:rFonts w:hint="eastAsia" w:ascii="宋体" w:hAnsi="宋体" w:cs="宋体"/>
                <w:sz w:val="24"/>
                <w:szCs w:val="24"/>
                <w:highlight w:val="none"/>
              </w:rPr>
              <w:t>投料率</w:t>
            </w:r>
          </w:p>
        </w:tc>
        <w:tc>
          <w:tcPr>
            <w:tcW w:w="2126" w:type="dxa"/>
            <w:vAlign w:val="center"/>
          </w:tcPr>
          <w:p>
            <w:pPr>
              <w:jc w:val="left"/>
              <w:rPr>
                <w:rFonts w:ascii="宋体" w:hAnsi="宋体" w:cs="宋体"/>
                <w:sz w:val="24"/>
                <w:szCs w:val="24"/>
                <w:highlight w:val="none"/>
              </w:rPr>
            </w:pPr>
            <w:r>
              <w:rPr>
                <w:rFonts w:hint="eastAsia" w:ascii="宋体" w:hAnsi="宋体" w:eastAsia="宋体" w:cs="宋体"/>
                <w:kern w:val="0"/>
                <w:sz w:val="24"/>
                <w:szCs w:val="24"/>
                <w:highlight w:val="none"/>
              </w:rPr>
              <w:t>年投料率不低于5</w:t>
            </w:r>
            <w:r>
              <w:rPr>
                <w:rFonts w:ascii="宋体" w:hAnsi="宋体" w:eastAsia="宋体" w:cs="宋体"/>
                <w:kern w:val="0"/>
                <w:sz w:val="24"/>
                <w:szCs w:val="24"/>
                <w:highlight w:val="none"/>
              </w:rPr>
              <w:t>0%</w:t>
            </w:r>
          </w:p>
        </w:tc>
        <w:tc>
          <w:tcPr>
            <w:tcW w:w="910" w:type="dxa"/>
            <w:vAlign w:val="center"/>
          </w:tcPr>
          <w:p>
            <w:pPr>
              <w:jc w:val="center"/>
              <w:rPr>
                <w:rFonts w:ascii="宋体" w:hAnsi="宋体" w:cs="宋体"/>
                <w:sz w:val="24"/>
                <w:szCs w:val="24"/>
                <w:highlight w:val="none"/>
              </w:rPr>
            </w:pPr>
            <w:r>
              <w:rPr>
                <w:rFonts w:hint="eastAsia" w:ascii="宋体" w:hAnsi="宋体" w:cs="宋体"/>
                <w:sz w:val="24"/>
                <w:szCs w:val="24"/>
                <w:highlight w:val="none"/>
              </w:rPr>
              <w:t>10</w:t>
            </w:r>
          </w:p>
        </w:tc>
        <w:tc>
          <w:tcPr>
            <w:tcW w:w="4306" w:type="dxa"/>
            <w:vAlign w:val="center"/>
          </w:tcPr>
          <w:p>
            <w:pPr>
              <w:rPr>
                <w:rFonts w:ascii="宋体" w:hAnsi="宋体" w:cs="宋体"/>
                <w:sz w:val="24"/>
                <w:szCs w:val="24"/>
                <w:highlight w:val="none"/>
              </w:rPr>
            </w:pPr>
            <w:r>
              <w:rPr>
                <w:rFonts w:hint="eastAsia" w:ascii="宋体" w:hAnsi="宋体" w:cs="宋体"/>
                <w:sz w:val="24"/>
                <w:szCs w:val="24"/>
                <w:highlight w:val="none"/>
              </w:rPr>
              <w:t>1.投料率未达到约定投料率，扣10分。2.大宗食材采购未完全在校方审核同意的供应商处采购，扣5分。3.每批次原材料采购未及时录入进销存系统，发现1次扣2分。4.进销存数据与实际采购、出库数据存在不一致或做假行为，发现1次扣10分。以上扣分项累计扣除，超出本项得分部分，在总分中扣除。</w:t>
            </w:r>
          </w:p>
          <w:p>
            <w:pPr>
              <w:rPr>
                <w:rFonts w:ascii="宋体" w:hAnsi="宋体" w:cs="宋体"/>
                <w:sz w:val="24"/>
                <w:szCs w:val="24"/>
                <w:highlight w:val="none"/>
              </w:rPr>
            </w:pPr>
            <w:r>
              <w:rPr>
                <w:rFonts w:hint="eastAsia" w:ascii="宋体" w:hAnsi="宋体" w:cs="宋体"/>
                <w:sz w:val="24"/>
                <w:szCs w:val="24"/>
                <w:highlight w:val="none"/>
              </w:rPr>
              <w:t>年度考核本项得分=</w:t>
            </w:r>
            <w:r>
              <w:rPr>
                <w:rFonts w:hint="eastAsia" w:ascii="等线" w:hAnsi="等线" w:eastAsia="等线" w:cs="宋体"/>
                <w:sz w:val="24"/>
                <w:szCs w:val="24"/>
                <w:highlight w:val="none"/>
              </w:rPr>
              <w:t>∑</w:t>
            </w:r>
            <w:r>
              <w:rPr>
                <w:rFonts w:hint="eastAsia" w:ascii="宋体" w:hAnsi="宋体" w:cs="宋体"/>
                <w:sz w:val="24"/>
                <w:szCs w:val="24"/>
                <w:highlight w:val="none"/>
              </w:rPr>
              <w:t>每月本项考核得分/总月数</w:t>
            </w:r>
          </w:p>
        </w:tc>
        <w:tc>
          <w:tcPr>
            <w:tcW w:w="851" w:type="dxa"/>
          </w:tcPr>
          <w:p>
            <w:pPr>
              <w:jc w:val="center"/>
              <w:rPr>
                <w:rFonts w:ascii="宋体" w:hAnsi="宋体" w:cs="宋体"/>
                <w:sz w:val="24"/>
                <w:szCs w:val="24"/>
                <w:highlight w:val="none"/>
              </w:rPr>
            </w:pPr>
            <w:r>
              <w:rPr>
                <w:rFonts w:hint="eastAsia" w:ascii="宋体" w:hAnsi="宋体" w:cs="宋体"/>
                <w:sz w:val="24"/>
                <w:szCs w:val="24"/>
                <w:highlight w:val="none"/>
              </w:rPr>
              <w:t>年度考核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4" w:type="dxa"/>
            <w:vAlign w:val="center"/>
          </w:tcPr>
          <w:p>
            <w:pPr>
              <w:jc w:val="center"/>
              <w:rPr>
                <w:rFonts w:ascii="宋体" w:hAnsi="宋体" w:cs="宋体"/>
                <w:sz w:val="24"/>
                <w:szCs w:val="24"/>
                <w:highlight w:val="none"/>
              </w:rPr>
            </w:pPr>
            <w:r>
              <w:rPr>
                <w:rFonts w:hint="eastAsia" w:ascii="宋体" w:hAnsi="宋体" w:cs="宋体"/>
                <w:sz w:val="24"/>
                <w:szCs w:val="24"/>
                <w:highlight w:val="none"/>
              </w:rPr>
              <w:t>4</w:t>
            </w:r>
          </w:p>
        </w:tc>
        <w:tc>
          <w:tcPr>
            <w:tcW w:w="709" w:type="dxa"/>
            <w:vAlign w:val="center"/>
          </w:tcPr>
          <w:p>
            <w:pPr>
              <w:jc w:val="center"/>
              <w:rPr>
                <w:rFonts w:ascii="宋体" w:hAnsi="宋体" w:cs="宋体"/>
                <w:sz w:val="24"/>
                <w:szCs w:val="24"/>
                <w:highlight w:val="none"/>
              </w:rPr>
            </w:pPr>
            <w:r>
              <w:rPr>
                <w:rFonts w:hint="eastAsia" w:ascii="宋体" w:hAnsi="宋体" w:cs="宋体"/>
                <w:sz w:val="24"/>
                <w:szCs w:val="24"/>
                <w:highlight w:val="none"/>
              </w:rPr>
              <w:t>基本大伙餐品质</w:t>
            </w:r>
          </w:p>
        </w:tc>
        <w:tc>
          <w:tcPr>
            <w:tcW w:w="2126" w:type="dxa"/>
            <w:vAlign w:val="center"/>
          </w:tcPr>
          <w:p>
            <w:pPr>
              <w:jc w:val="left"/>
              <w:rPr>
                <w:rFonts w:ascii="宋体" w:hAnsi="宋体" w:cs="宋体"/>
                <w:sz w:val="24"/>
                <w:szCs w:val="24"/>
                <w:highlight w:val="none"/>
              </w:rPr>
            </w:pPr>
            <w:r>
              <w:rPr>
                <w:rFonts w:hint="eastAsia" w:ascii="宋体" w:hAnsi="宋体" w:cs="宋体"/>
                <w:sz w:val="24"/>
                <w:szCs w:val="24"/>
                <w:highlight w:val="none"/>
              </w:rPr>
              <w:t>大伙档口占比、大伙档口菜品种类、价格、分量等按合同要求执行</w:t>
            </w:r>
          </w:p>
        </w:tc>
        <w:tc>
          <w:tcPr>
            <w:tcW w:w="910" w:type="dxa"/>
            <w:vAlign w:val="center"/>
          </w:tcPr>
          <w:p>
            <w:pPr>
              <w:jc w:val="center"/>
              <w:rPr>
                <w:rFonts w:ascii="宋体" w:hAnsi="宋体" w:cs="宋体"/>
                <w:sz w:val="24"/>
                <w:szCs w:val="24"/>
                <w:highlight w:val="none"/>
              </w:rPr>
            </w:pPr>
            <w:r>
              <w:rPr>
                <w:rFonts w:hint="eastAsia" w:ascii="宋体" w:hAnsi="宋体" w:cs="宋体"/>
                <w:sz w:val="24"/>
                <w:szCs w:val="24"/>
                <w:highlight w:val="none"/>
              </w:rPr>
              <w:t>10</w:t>
            </w:r>
          </w:p>
        </w:tc>
        <w:tc>
          <w:tcPr>
            <w:tcW w:w="4306" w:type="dxa"/>
            <w:vAlign w:val="center"/>
          </w:tcPr>
          <w:p>
            <w:pPr>
              <w:rPr>
                <w:rFonts w:ascii="宋体" w:hAnsi="宋体" w:cs="宋体"/>
                <w:sz w:val="24"/>
                <w:szCs w:val="24"/>
                <w:highlight w:val="none"/>
              </w:rPr>
            </w:pPr>
            <w:r>
              <w:rPr>
                <w:rFonts w:hint="eastAsia" w:ascii="宋体" w:hAnsi="宋体" w:cs="宋体"/>
                <w:sz w:val="24"/>
                <w:szCs w:val="24"/>
                <w:highlight w:val="none"/>
              </w:rPr>
              <w:t>每月日常检查中，大伙档口占比、大伙档口菜品种类和数量、价格、基本大伙餐月投料率未按合同执行，发现一次扣除6分；分量未按合同执行，发现一次扣除1分。</w:t>
            </w:r>
          </w:p>
          <w:p>
            <w:pPr>
              <w:rPr>
                <w:rFonts w:ascii="宋体" w:hAnsi="宋体" w:cs="宋体"/>
                <w:sz w:val="24"/>
                <w:szCs w:val="24"/>
                <w:highlight w:val="none"/>
              </w:rPr>
            </w:pPr>
            <w:r>
              <w:rPr>
                <w:rFonts w:hint="eastAsia" w:ascii="宋体" w:hAnsi="宋体" w:cs="宋体"/>
                <w:sz w:val="24"/>
                <w:szCs w:val="24"/>
                <w:highlight w:val="none"/>
              </w:rPr>
              <w:t>年度考核本项得分=∑每月本项考核得分/总月数</w:t>
            </w:r>
          </w:p>
          <w:p>
            <w:pPr>
              <w:rPr>
                <w:rFonts w:ascii="宋体" w:hAnsi="宋体" w:cs="宋体"/>
                <w:sz w:val="24"/>
                <w:szCs w:val="24"/>
                <w:highlight w:val="none"/>
              </w:rPr>
            </w:pPr>
          </w:p>
        </w:tc>
        <w:tc>
          <w:tcPr>
            <w:tcW w:w="851" w:type="dxa"/>
          </w:tcPr>
          <w:p>
            <w:pPr>
              <w:jc w:val="center"/>
              <w:rPr>
                <w:rFonts w:ascii="宋体" w:hAnsi="宋体" w:cs="宋体"/>
                <w:sz w:val="24"/>
                <w:szCs w:val="24"/>
                <w:highlight w:val="none"/>
              </w:rPr>
            </w:pPr>
          </w:p>
        </w:tc>
      </w:tr>
    </w:tbl>
    <w:p>
      <w:pPr>
        <w:spacing w:line="276" w:lineRule="auto"/>
        <w:ind w:left="-850" w:leftChars="-405" w:firstLine="960" w:firstLineChars="400"/>
        <w:rPr>
          <w:rFonts w:ascii="宋体" w:hAnsi="宋体" w:eastAsia="宋体" w:cs="宋体"/>
          <w:sz w:val="24"/>
          <w:szCs w:val="24"/>
          <w:highlight w:val="none"/>
        </w:rPr>
      </w:pPr>
      <w:r>
        <w:rPr>
          <w:rFonts w:hint="eastAsia" w:ascii="宋体" w:hAnsi="宋体" w:eastAsia="宋体" w:cs="宋体"/>
          <w:sz w:val="24"/>
          <w:szCs w:val="24"/>
          <w:highlight w:val="none"/>
        </w:rPr>
        <w:t>备注：甲方可根据实际情况对本办法进行修订，乙方须按修订后的办法执行。</w:t>
      </w:r>
    </w:p>
    <w:p>
      <w:pPr>
        <w:widowControl/>
        <w:jc w:val="left"/>
        <w:rPr>
          <w:rFonts w:ascii="宋体" w:hAnsi="宋体" w:cs="仿宋"/>
          <w:b/>
          <w:bCs/>
          <w:sz w:val="24"/>
          <w:szCs w:val="24"/>
          <w:highlight w:val="none"/>
        </w:rPr>
      </w:pPr>
      <w:r>
        <w:rPr>
          <w:rFonts w:hint="eastAsia" w:ascii="宋体" w:hAnsi="宋体" w:cs="仿宋"/>
          <w:b/>
          <w:bCs/>
          <w:sz w:val="24"/>
          <w:szCs w:val="24"/>
          <w:highlight w:val="none"/>
        </w:rPr>
        <w:br w:type="page"/>
      </w:r>
    </w:p>
    <w:p>
      <w:pPr>
        <w:spacing w:line="276" w:lineRule="auto"/>
        <w:jc w:val="left"/>
        <w:rPr>
          <w:rFonts w:ascii="宋体" w:hAnsi="宋体" w:cs="仿宋"/>
          <w:b/>
          <w:bCs/>
          <w:sz w:val="24"/>
          <w:szCs w:val="24"/>
          <w:highlight w:val="none"/>
        </w:rPr>
      </w:pPr>
      <w:r>
        <w:rPr>
          <w:rFonts w:hint="eastAsia" w:ascii="宋体" w:hAnsi="宋体" w:cs="仿宋"/>
          <w:b/>
          <w:bCs/>
          <w:sz w:val="24"/>
          <w:szCs w:val="24"/>
          <w:highlight w:val="none"/>
        </w:rPr>
        <w:t>附件3</w:t>
      </w:r>
    </w:p>
    <w:p>
      <w:pPr>
        <w:spacing w:line="276" w:lineRule="auto"/>
        <w:jc w:val="center"/>
        <w:rPr>
          <w:rFonts w:ascii="宋体" w:hAnsi="宋体" w:cs="宋体"/>
          <w:b/>
          <w:sz w:val="24"/>
          <w:szCs w:val="24"/>
          <w:highlight w:val="none"/>
        </w:rPr>
      </w:pPr>
      <w:r>
        <w:rPr>
          <w:rFonts w:hint="eastAsia" w:ascii="宋体" w:hAnsi="宋体" w:cs="宋体"/>
          <w:b/>
          <w:sz w:val="24"/>
          <w:szCs w:val="24"/>
          <w:highlight w:val="none"/>
        </w:rPr>
        <w:t>四川外国语大学食堂餐饮服务满意度调查问卷</w:t>
      </w:r>
    </w:p>
    <w:p>
      <w:pPr>
        <w:spacing w:line="276" w:lineRule="auto"/>
        <w:ind w:firstLine="480"/>
        <w:jc w:val="center"/>
        <w:rPr>
          <w:rFonts w:ascii="宋体" w:hAnsi="宋体" w:cs="宋体"/>
          <w:sz w:val="24"/>
          <w:szCs w:val="24"/>
          <w:highlight w:val="none"/>
        </w:rPr>
      </w:pPr>
      <w:r>
        <w:rPr>
          <w:rFonts w:hint="eastAsia" w:ascii="宋体" w:hAnsi="宋体" w:cs="宋体"/>
          <w:sz w:val="24"/>
          <w:szCs w:val="24"/>
          <w:highlight w:val="none"/>
        </w:rPr>
        <w:t xml:space="preserve">             </w:t>
      </w:r>
    </w:p>
    <w:p>
      <w:pPr>
        <w:spacing w:line="276" w:lineRule="auto"/>
        <w:rPr>
          <w:rFonts w:ascii="宋体" w:hAnsi="宋体" w:cs="宋体"/>
          <w:b/>
          <w:sz w:val="24"/>
          <w:szCs w:val="24"/>
          <w:highlight w:val="none"/>
        </w:rPr>
      </w:pPr>
    </w:p>
    <w:p>
      <w:pPr>
        <w:spacing w:line="276" w:lineRule="auto"/>
        <w:jc w:val="center"/>
        <w:rPr>
          <w:rFonts w:ascii="宋体" w:hAnsi="宋体" w:cs="宋体"/>
          <w:sz w:val="24"/>
          <w:szCs w:val="24"/>
          <w:highlight w:val="none"/>
        </w:rPr>
      </w:pPr>
      <w:r>
        <w:rPr>
          <w:rFonts w:hint="eastAsia" w:ascii="宋体" w:hAnsi="宋体" w:cs="宋体"/>
          <w:b/>
          <w:sz w:val="24"/>
          <w:szCs w:val="24"/>
          <w:highlight w:val="none"/>
        </w:rPr>
        <w:t>食堂满意度问卷调查表</w:t>
      </w:r>
    </w:p>
    <w:tbl>
      <w:tblPr>
        <w:tblStyle w:val="33"/>
        <w:tblW w:w="0" w:type="auto"/>
        <w:tblInd w:w="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3543"/>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2802" w:type="dxa"/>
            <w:tcBorders>
              <w:top w:val="single" w:color="auto" w:sz="18" w:space="0"/>
              <w:left w:val="nil"/>
              <w:bottom w:val="double" w:color="auto" w:sz="4" w:space="0"/>
              <w:right w:val="double" w:color="auto" w:sz="4" w:space="0"/>
            </w:tcBorders>
            <w:vAlign w:val="center"/>
          </w:tcPr>
          <w:p>
            <w:pPr>
              <w:spacing w:line="276" w:lineRule="auto"/>
              <w:jc w:val="center"/>
              <w:rPr>
                <w:rFonts w:ascii="宋体" w:hAnsi="宋体" w:cs="宋体"/>
                <w:szCs w:val="21"/>
                <w:highlight w:val="none"/>
              </w:rPr>
            </w:pPr>
            <w:r>
              <w:rPr>
                <w:rFonts w:hint="eastAsia" w:ascii="宋体" w:hAnsi="宋体" w:cs="宋体"/>
                <w:szCs w:val="21"/>
                <w:highlight w:val="none"/>
              </w:rPr>
              <w:t>一级指标</w:t>
            </w:r>
          </w:p>
        </w:tc>
        <w:tc>
          <w:tcPr>
            <w:tcW w:w="3543" w:type="dxa"/>
            <w:tcBorders>
              <w:top w:val="single" w:color="auto" w:sz="18" w:space="0"/>
              <w:left w:val="double" w:color="auto" w:sz="4" w:space="0"/>
              <w:bottom w:val="double" w:color="auto" w:sz="4" w:space="0"/>
              <w:right w:val="single" w:color="auto" w:sz="4" w:space="0"/>
            </w:tcBorders>
            <w:vAlign w:val="center"/>
          </w:tcPr>
          <w:p>
            <w:pPr>
              <w:spacing w:line="276" w:lineRule="auto"/>
              <w:jc w:val="center"/>
              <w:rPr>
                <w:rFonts w:ascii="宋体" w:hAnsi="宋体" w:cs="宋体"/>
                <w:szCs w:val="21"/>
                <w:highlight w:val="none"/>
              </w:rPr>
            </w:pPr>
            <w:r>
              <w:rPr>
                <w:rFonts w:hint="eastAsia" w:ascii="宋体" w:hAnsi="宋体" w:cs="宋体"/>
                <w:szCs w:val="21"/>
                <w:highlight w:val="none"/>
              </w:rPr>
              <w:t>二级指标</w:t>
            </w:r>
          </w:p>
        </w:tc>
        <w:tc>
          <w:tcPr>
            <w:tcW w:w="2177" w:type="dxa"/>
            <w:tcBorders>
              <w:top w:val="single" w:color="auto" w:sz="18" w:space="0"/>
              <w:left w:val="single" w:color="auto" w:sz="4" w:space="0"/>
              <w:bottom w:val="double" w:color="auto" w:sz="4" w:space="0"/>
              <w:right w:val="nil"/>
            </w:tcBorders>
            <w:vAlign w:val="center"/>
          </w:tcPr>
          <w:p>
            <w:pPr>
              <w:spacing w:line="276" w:lineRule="auto"/>
              <w:jc w:val="center"/>
              <w:rPr>
                <w:rFonts w:ascii="宋体" w:hAnsi="宋体" w:cs="宋体"/>
                <w:szCs w:val="21"/>
                <w:highlight w:val="none"/>
              </w:rPr>
            </w:pPr>
            <w:r>
              <w:rPr>
                <w:rFonts w:hint="eastAsia" w:ascii="宋体" w:hAnsi="宋体" w:cs="宋体"/>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802" w:type="dxa"/>
            <w:vMerge w:val="restart"/>
            <w:tcBorders>
              <w:top w:val="double" w:color="auto" w:sz="4" w:space="0"/>
              <w:left w:val="nil"/>
              <w:right w:val="double" w:color="auto" w:sz="4" w:space="0"/>
            </w:tcBorders>
            <w:vAlign w:val="center"/>
          </w:tcPr>
          <w:p>
            <w:pPr>
              <w:spacing w:line="276" w:lineRule="auto"/>
              <w:rPr>
                <w:rFonts w:ascii="宋体" w:hAnsi="宋体" w:cs="宋体"/>
                <w:szCs w:val="21"/>
                <w:highlight w:val="none"/>
              </w:rPr>
            </w:pPr>
            <w:r>
              <w:rPr>
                <w:rFonts w:hint="eastAsia" w:ascii="宋体" w:hAnsi="宋体" w:cs="宋体"/>
                <w:szCs w:val="21"/>
                <w:highlight w:val="none"/>
              </w:rPr>
              <w:t>餐饮质量（50分）</w:t>
            </w:r>
          </w:p>
        </w:tc>
        <w:tc>
          <w:tcPr>
            <w:tcW w:w="3543" w:type="dxa"/>
            <w:tcBorders>
              <w:top w:val="double" w:color="auto" w:sz="4" w:space="0"/>
              <w:left w:val="double" w:color="auto" w:sz="4" w:space="0"/>
              <w:bottom w:val="single" w:color="auto" w:sz="4" w:space="0"/>
              <w:right w:val="single" w:color="auto" w:sz="4" w:space="0"/>
            </w:tcBorders>
            <w:vAlign w:val="center"/>
          </w:tcPr>
          <w:p>
            <w:pPr>
              <w:spacing w:line="276" w:lineRule="auto"/>
              <w:rPr>
                <w:rFonts w:ascii="宋体" w:hAnsi="宋体" w:cs="宋体"/>
                <w:szCs w:val="21"/>
                <w:highlight w:val="none"/>
              </w:rPr>
            </w:pPr>
            <w:r>
              <w:rPr>
                <w:rFonts w:hint="eastAsia" w:ascii="宋体" w:hAnsi="宋体" w:cs="宋体"/>
                <w:szCs w:val="21"/>
                <w:highlight w:val="none"/>
              </w:rPr>
              <w:t>饭菜味道（10分）</w:t>
            </w:r>
          </w:p>
        </w:tc>
        <w:tc>
          <w:tcPr>
            <w:tcW w:w="2177" w:type="dxa"/>
            <w:tcBorders>
              <w:top w:val="double" w:color="auto" w:sz="4" w:space="0"/>
              <w:left w:val="single" w:color="auto" w:sz="4" w:space="0"/>
              <w:bottom w:val="single" w:color="auto" w:sz="4" w:space="0"/>
              <w:right w:val="nil"/>
            </w:tcBorders>
            <w:vAlign w:val="center"/>
          </w:tcPr>
          <w:p>
            <w:pPr>
              <w:spacing w:line="276"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2" w:type="dxa"/>
            <w:vMerge w:val="continue"/>
            <w:tcBorders>
              <w:left w:val="nil"/>
              <w:right w:val="double" w:color="auto" w:sz="4" w:space="0"/>
            </w:tcBorders>
            <w:vAlign w:val="center"/>
          </w:tcPr>
          <w:p>
            <w:pPr>
              <w:spacing w:line="276" w:lineRule="auto"/>
              <w:rPr>
                <w:rFonts w:ascii="宋体" w:hAnsi="宋体" w:cs="宋体"/>
                <w:szCs w:val="21"/>
                <w:highlight w:val="none"/>
              </w:rPr>
            </w:pPr>
          </w:p>
        </w:tc>
        <w:tc>
          <w:tcPr>
            <w:tcW w:w="3543" w:type="dxa"/>
            <w:tcBorders>
              <w:top w:val="single" w:color="auto" w:sz="4" w:space="0"/>
              <w:left w:val="double" w:color="auto" w:sz="4" w:space="0"/>
              <w:bottom w:val="single" w:color="auto" w:sz="4" w:space="0"/>
              <w:right w:val="single" w:color="auto" w:sz="4" w:space="0"/>
            </w:tcBorders>
            <w:vAlign w:val="center"/>
          </w:tcPr>
          <w:p>
            <w:pPr>
              <w:spacing w:line="276" w:lineRule="auto"/>
              <w:rPr>
                <w:rFonts w:ascii="宋体" w:hAnsi="宋体" w:cs="宋体"/>
                <w:szCs w:val="21"/>
                <w:highlight w:val="none"/>
              </w:rPr>
            </w:pPr>
            <w:r>
              <w:rPr>
                <w:rFonts w:hint="eastAsia" w:ascii="宋体" w:hAnsi="宋体" w:cs="宋体"/>
                <w:szCs w:val="21"/>
                <w:highlight w:val="none"/>
              </w:rPr>
              <w:t>饭菜分量（10分）</w:t>
            </w:r>
          </w:p>
        </w:tc>
        <w:tc>
          <w:tcPr>
            <w:tcW w:w="2177" w:type="dxa"/>
            <w:tcBorders>
              <w:top w:val="single" w:color="auto" w:sz="4" w:space="0"/>
              <w:left w:val="single" w:color="auto" w:sz="4" w:space="0"/>
              <w:bottom w:val="single" w:color="auto" w:sz="4" w:space="0"/>
              <w:right w:val="nil"/>
            </w:tcBorders>
            <w:vAlign w:val="center"/>
          </w:tcPr>
          <w:p>
            <w:pPr>
              <w:spacing w:line="276"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802" w:type="dxa"/>
            <w:vMerge w:val="continue"/>
            <w:tcBorders>
              <w:left w:val="nil"/>
              <w:right w:val="double" w:color="auto" w:sz="4" w:space="0"/>
            </w:tcBorders>
            <w:vAlign w:val="center"/>
          </w:tcPr>
          <w:p>
            <w:pPr>
              <w:spacing w:line="276" w:lineRule="auto"/>
              <w:rPr>
                <w:rFonts w:ascii="宋体" w:hAnsi="宋体" w:cs="宋体"/>
                <w:szCs w:val="21"/>
                <w:highlight w:val="none"/>
              </w:rPr>
            </w:pPr>
          </w:p>
        </w:tc>
        <w:tc>
          <w:tcPr>
            <w:tcW w:w="3543" w:type="dxa"/>
            <w:tcBorders>
              <w:top w:val="single" w:color="auto" w:sz="4" w:space="0"/>
              <w:left w:val="double" w:color="auto" w:sz="4" w:space="0"/>
              <w:bottom w:val="single" w:color="auto" w:sz="4" w:space="0"/>
              <w:right w:val="single" w:color="auto" w:sz="4" w:space="0"/>
            </w:tcBorders>
            <w:vAlign w:val="center"/>
          </w:tcPr>
          <w:p>
            <w:pPr>
              <w:spacing w:line="276" w:lineRule="auto"/>
              <w:rPr>
                <w:rFonts w:ascii="宋体" w:hAnsi="宋体" w:cs="宋体"/>
                <w:szCs w:val="21"/>
                <w:highlight w:val="none"/>
              </w:rPr>
            </w:pPr>
            <w:r>
              <w:rPr>
                <w:rFonts w:hint="eastAsia" w:ascii="宋体" w:hAnsi="宋体" w:cs="宋体"/>
                <w:szCs w:val="21"/>
                <w:highlight w:val="none"/>
              </w:rPr>
              <w:t>饭菜价格（10分）</w:t>
            </w:r>
          </w:p>
        </w:tc>
        <w:tc>
          <w:tcPr>
            <w:tcW w:w="2177" w:type="dxa"/>
            <w:tcBorders>
              <w:top w:val="single" w:color="auto" w:sz="4" w:space="0"/>
              <w:left w:val="single" w:color="auto" w:sz="4" w:space="0"/>
              <w:bottom w:val="single" w:color="auto" w:sz="4" w:space="0"/>
              <w:right w:val="nil"/>
            </w:tcBorders>
            <w:vAlign w:val="center"/>
          </w:tcPr>
          <w:p>
            <w:pPr>
              <w:spacing w:line="276"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802" w:type="dxa"/>
            <w:vMerge w:val="continue"/>
            <w:tcBorders>
              <w:left w:val="nil"/>
              <w:right w:val="double" w:color="auto" w:sz="4" w:space="0"/>
            </w:tcBorders>
            <w:vAlign w:val="center"/>
          </w:tcPr>
          <w:p>
            <w:pPr>
              <w:spacing w:line="276" w:lineRule="auto"/>
              <w:rPr>
                <w:rFonts w:ascii="宋体" w:hAnsi="宋体" w:cs="宋体"/>
                <w:szCs w:val="21"/>
                <w:highlight w:val="none"/>
              </w:rPr>
            </w:pPr>
          </w:p>
        </w:tc>
        <w:tc>
          <w:tcPr>
            <w:tcW w:w="3543" w:type="dxa"/>
            <w:tcBorders>
              <w:top w:val="single" w:color="auto" w:sz="4" w:space="0"/>
              <w:left w:val="double" w:color="auto" w:sz="4" w:space="0"/>
              <w:bottom w:val="single" w:color="auto" w:sz="4" w:space="0"/>
              <w:right w:val="single" w:color="auto" w:sz="4" w:space="0"/>
            </w:tcBorders>
            <w:vAlign w:val="center"/>
          </w:tcPr>
          <w:p>
            <w:pPr>
              <w:spacing w:line="276" w:lineRule="auto"/>
              <w:rPr>
                <w:rFonts w:ascii="宋体" w:hAnsi="宋体" w:cs="宋体"/>
                <w:szCs w:val="21"/>
                <w:highlight w:val="none"/>
              </w:rPr>
            </w:pPr>
            <w:r>
              <w:rPr>
                <w:rFonts w:hint="eastAsia" w:ascii="宋体" w:hAnsi="宋体" w:cs="宋体"/>
                <w:szCs w:val="21"/>
                <w:highlight w:val="none"/>
              </w:rPr>
              <w:t>菜品类更新频率（5分）</w:t>
            </w:r>
          </w:p>
        </w:tc>
        <w:tc>
          <w:tcPr>
            <w:tcW w:w="2177" w:type="dxa"/>
            <w:tcBorders>
              <w:top w:val="single" w:color="auto" w:sz="4" w:space="0"/>
              <w:left w:val="single" w:color="auto" w:sz="4" w:space="0"/>
              <w:bottom w:val="single" w:color="auto" w:sz="4" w:space="0"/>
              <w:right w:val="nil"/>
            </w:tcBorders>
            <w:vAlign w:val="center"/>
          </w:tcPr>
          <w:p>
            <w:pPr>
              <w:spacing w:line="276"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2" w:type="dxa"/>
            <w:vMerge w:val="continue"/>
            <w:tcBorders>
              <w:left w:val="nil"/>
              <w:right w:val="double" w:color="auto" w:sz="4" w:space="0"/>
            </w:tcBorders>
            <w:vAlign w:val="center"/>
          </w:tcPr>
          <w:p>
            <w:pPr>
              <w:spacing w:line="276" w:lineRule="auto"/>
              <w:rPr>
                <w:rFonts w:ascii="宋体" w:hAnsi="宋体" w:cs="宋体"/>
                <w:szCs w:val="21"/>
                <w:highlight w:val="none"/>
              </w:rPr>
            </w:pPr>
          </w:p>
        </w:tc>
        <w:tc>
          <w:tcPr>
            <w:tcW w:w="3543" w:type="dxa"/>
            <w:tcBorders>
              <w:top w:val="single" w:color="auto" w:sz="4" w:space="0"/>
              <w:left w:val="double" w:color="auto" w:sz="4" w:space="0"/>
              <w:bottom w:val="single" w:color="auto" w:sz="4" w:space="0"/>
              <w:right w:val="single" w:color="auto" w:sz="4" w:space="0"/>
            </w:tcBorders>
            <w:vAlign w:val="center"/>
          </w:tcPr>
          <w:p>
            <w:pPr>
              <w:spacing w:line="276" w:lineRule="auto"/>
              <w:rPr>
                <w:rFonts w:ascii="宋体" w:hAnsi="宋体" w:cs="宋体"/>
                <w:szCs w:val="21"/>
                <w:highlight w:val="none"/>
              </w:rPr>
            </w:pPr>
            <w:r>
              <w:rPr>
                <w:rFonts w:hint="eastAsia" w:ascii="宋体" w:hAnsi="宋体" w:cs="宋体"/>
                <w:szCs w:val="21"/>
                <w:highlight w:val="none"/>
              </w:rPr>
              <w:t>饭菜新鲜情况（5分）</w:t>
            </w:r>
          </w:p>
        </w:tc>
        <w:tc>
          <w:tcPr>
            <w:tcW w:w="2177" w:type="dxa"/>
            <w:tcBorders>
              <w:top w:val="single" w:color="auto" w:sz="4" w:space="0"/>
              <w:left w:val="single" w:color="auto" w:sz="4" w:space="0"/>
              <w:bottom w:val="single" w:color="auto" w:sz="4" w:space="0"/>
              <w:right w:val="nil"/>
            </w:tcBorders>
            <w:vAlign w:val="center"/>
          </w:tcPr>
          <w:p>
            <w:pPr>
              <w:spacing w:line="276"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802" w:type="dxa"/>
            <w:vMerge w:val="continue"/>
            <w:tcBorders>
              <w:left w:val="nil"/>
              <w:right w:val="double" w:color="auto" w:sz="4" w:space="0"/>
            </w:tcBorders>
            <w:vAlign w:val="center"/>
          </w:tcPr>
          <w:p>
            <w:pPr>
              <w:spacing w:line="276" w:lineRule="auto"/>
              <w:rPr>
                <w:rFonts w:ascii="宋体" w:hAnsi="宋体" w:cs="宋体"/>
                <w:szCs w:val="21"/>
                <w:highlight w:val="none"/>
              </w:rPr>
            </w:pPr>
          </w:p>
        </w:tc>
        <w:tc>
          <w:tcPr>
            <w:tcW w:w="3543" w:type="dxa"/>
            <w:tcBorders>
              <w:top w:val="single" w:color="auto" w:sz="4" w:space="0"/>
              <w:left w:val="double" w:color="auto" w:sz="4" w:space="0"/>
              <w:bottom w:val="single" w:color="auto" w:sz="4" w:space="0"/>
              <w:right w:val="single" w:color="auto" w:sz="4" w:space="0"/>
            </w:tcBorders>
            <w:vAlign w:val="center"/>
          </w:tcPr>
          <w:p>
            <w:pPr>
              <w:spacing w:line="276" w:lineRule="auto"/>
              <w:rPr>
                <w:rFonts w:ascii="宋体" w:hAnsi="宋体" w:cs="宋体"/>
                <w:szCs w:val="21"/>
                <w:highlight w:val="none"/>
              </w:rPr>
            </w:pPr>
            <w:r>
              <w:rPr>
                <w:rFonts w:hint="eastAsia" w:ascii="宋体" w:hAnsi="宋体" w:cs="宋体"/>
                <w:szCs w:val="21"/>
                <w:highlight w:val="none"/>
              </w:rPr>
              <w:t>饭菜异物（5分）</w:t>
            </w:r>
          </w:p>
        </w:tc>
        <w:tc>
          <w:tcPr>
            <w:tcW w:w="2177" w:type="dxa"/>
            <w:tcBorders>
              <w:top w:val="single" w:color="auto" w:sz="4" w:space="0"/>
              <w:left w:val="single" w:color="auto" w:sz="4" w:space="0"/>
              <w:bottom w:val="single" w:color="auto" w:sz="4" w:space="0"/>
              <w:right w:val="nil"/>
            </w:tcBorders>
            <w:vAlign w:val="center"/>
          </w:tcPr>
          <w:p>
            <w:pPr>
              <w:spacing w:line="276"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2" w:type="dxa"/>
            <w:vMerge w:val="continue"/>
            <w:tcBorders>
              <w:left w:val="nil"/>
              <w:bottom w:val="double" w:color="auto" w:sz="4" w:space="0"/>
              <w:right w:val="double" w:color="auto" w:sz="4" w:space="0"/>
            </w:tcBorders>
            <w:vAlign w:val="center"/>
          </w:tcPr>
          <w:p>
            <w:pPr>
              <w:spacing w:line="276" w:lineRule="auto"/>
              <w:rPr>
                <w:rFonts w:ascii="宋体" w:hAnsi="宋体" w:cs="宋体"/>
                <w:szCs w:val="21"/>
                <w:highlight w:val="none"/>
              </w:rPr>
            </w:pPr>
          </w:p>
        </w:tc>
        <w:tc>
          <w:tcPr>
            <w:tcW w:w="3543" w:type="dxa"/>
            <w:tcBorders>
              <w:top w:val="single" w:color="auto" w:sz="4" w:space="0"/>
              <w:left w:val="double" w:color="auto" w:sz="4" w:space="0"/>
              <w:bottom w:val="double" w:color="auto" w:sz="4" w:space="0"/>
              <w:right w:val="single" w:color="auto" w:sz="4" w:space="0"/>
            </w:tcBorders>
            <w:vAlign w:val="center"/>
          </w:tcPr>
          <w:p>
            <w:pPr>
              <w:spacing w:line="276" w:lineRule="auto"/>
              <w:rPr>
                <w:rFonts w:ascii="宋体" w:hAnsi="宋体" w:cs="宋体"/>
                <w:szCs w:val="21"/>
                <w:highlight w:val="none"/>
              </w:rPr>
            </w:pPr>
            <w:r>
              <w:rPr>
                <w:rFonts w:hint="eastAsia" w:ascii="宋体" w:hAnsi="宋体" w:cs="宋体"/>
                <w:szCs w:val="21"/>
                <w:highlight w:val="none"/>
              </w:rPr>
              <w:t>米饭口感（5分）</w:t>
            </w:r>
          </w:p>
        </w:tc>
        <w:tc>
          <w:tcPr>
            <w:tcW w:w="2177" w:type="dxa"/>
            <w:tcBorders>
              <w:top w:val="single" w:color="auto" w:sz="4" w:space="0"/>
              <w:left w:val="single" w:color="auto" w:sz="4" w:space="0"/>
              <w:bottom w:val="double" w:color="auto" w:sz="4" w:space="0"/>
              <w:right w:val="nil"/>
            </w:tcBorders>
            <w:vAlign w:val="center"/>
          </w:tcPr>
          <w:p>
            <w:pPr>
              <w:spacing w:line="276"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2" w:type="dxa"/>
            <w:vMerge w:val="restart"/>
            <w:tcBorders>
              <w:top w:val="double" w:color="auto" w:sz="4" w:space="0"/>
              <w:left w:val="nil"/>
              <w:right w:val="double" w:color="auto" w:sz="4" w:space="0"/>
            </w:tcBorders>
            <w:vAlign w:val="center"/>
          </w:tcPr>
          <w:p>
            <w:pPr>
              <w:spacing w:line="276" w:lineRule="auto"/>
              <w:rPr>
                <w:rFonts w:ascii="宋体" w:hAnsi="宋体" w:cs="宋体"/>
                <w:szCs w:val="21"/>
                <w:highlight w:val="none"/>
              </w:rPr>
            </w:pPr>
            <w:r>
              <w:rPr>
                <w:rFonts w:hint="eastAsia" w:ascii="宋体" w:hAnsi="宋体" w:cs="宋体"/>
                <w:szCs w:val="21"/>
                <w:highlight w:val="none"/>
              </w:rPr>
              <w:t>服务质量（20分）</w:t>
            </w:r>
          </w:p>
        </w:tc>
        <w:tc>
          <w:tcPr>
            <w:tcW w:w="3543" w:type="dxa"/>
            <w:tcBorders>
              <w:top w:val="double" w:color="auto" w:sz="4" w:space="0"/>
              <w:left w:val="double" w:color="auto" w:sz="4" w:space="0"/>
              <w:bottom w:val="single" w:color="auto" w:sz="4" w:space="0"/>
              <w:right w:val="single" w:color="auto" w:sz="4" w:space="0"/>
            </w:tcBorders>
            <w:vAlign w:val="center"/>
          </w:tcPr>
          <w:p>
            <w:pPr>
              <w:spacing w:line="276" w:lineRule="auto"/>
              <w:rPr>
                <w:rFonts w:ascii="宋体" w:hAnsi="宋体" w:cs="宋体"/>
                <w:szCs w:val="21"/>
                <w:highlight w:val="none"/>
              </w:rPr>
            </w:pPr>
            <w:r>
              <w:rPr>
                <w:rFonts w:hint="eastAsia" w:ascii="宋体" w:hAnsi="宋体" w:cs="宋体"/>
                <w:szCs w:val="21"/>
                <w:highlight w:val="none"/>
              </w:rPr>
              <w:t>工作人员服务态度（10分）</w:t>
            </w:r>
          </w:p>
        </w:tc>
        <w:tc>
          <w:tcPr>
            <w:tcW w:w="2177" w:type="dxa"/>
            <w:tcBorders>
              <w:top w:val="double" w:color="auto" w:sz="4" w:space="0"/>
              <w:left w:val="single" w:color="auto" w:sz="4" w:space="0"/>
              <w:bottom w:val="single" w:color="auto" w:sz="4" w:space="0"/>
              <w:right w:val="nil"/>
            </w:tcBorders>
            <w:vAlign w:val="center"/>
          </w:tcPr>
          <w:p>
            <w:pPr>
              <w:spacing w:line="276"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802" w:type="dxa"/>
            <w:vMerge w:val="continue"/>
            <w:tcBorders>
              <w:left w:val="nil"/>
              <w:right w:val="double" w:color="auto" w:sz="4" w:space="0"/>
            </w:tcBorders>
            <w:vAlign w:val="center"/>
          </w:tcPr>
          <w:p>
            <w:pPr>
              <w:spacing w:line="276" w:lineRule="auto"/>
              <w:rPr>
                <w:rFonts w:ascii="宋体" w:hAnsi="宋体" w:cs="宋体"/>
                <w:szCs w:val="21"/>
                <w:highlight w:val="none"/>
              </w:rPr>
            </w:pPr>
          </w:p>
        </w:tc>
        <w:tc>
          <w:tcPr>
            <w:tcW w:w="3543" w:type="dxa"/>
            <w:tcBorders>
              <w:top w:val="single" w:color="auto" w:sz="4" w:space="0"/>
              <w:left w:val="double" w:color="auto" w:sz="4" w:space="0"/>
              <w:bottom w:val="single" w:color="auto" w:sz="4" w:space="0"/>
              <w:right w:val="single" w:color="auto" w:sz="4" w:space="0"/>
            </w:tcBorders>
            <w:vAlign w:val="center"/>
          </w:tcPr>
          <w:p>
            <w:pPr>
              <w:spacing w:line="276" w:lineRule="auto"/>
              <w:rPr>
                <w:rFonts w:ascii="宋体" w:hAnsi="宋体" w:cs="宋体"/>
                <w:szCs w:val="21"/>
                <w:highlight w:val="none"/>
              </w:rPr>
            </w:pPr>
            <w:r>
              <w:rPr>
                <w:rFonts w:hint="eastAsia" w:ascii="宋体" w:hAnsi="宋体" w:cs="宋体"/>
                <w:szCs w:val="21"/>
                <w:highlight w:val="none"/>
              </w:rPr>
              <w:t>刷卡错乱情况（5分）</w:t>
            </w:r>
          </w:p>
        </w:tc>
        <w:tc>
          <w:tcPr>
            <w:tcW w:w="2177" w:type="dxa"/>
            <w:tcBorders>
              <w:top w:val="single" w:color="auto" w:sz="4" w:space="0"/>
              <w:left w:val="single" w:color="auto" w:sz="4" w:space="0"/>
              <w:bottom w:val="single" w:color="auto" w:sz="4" w:space="0"/>
              <w:right w:val="nil"/>
            </w:tcBorders>
            <w:vAlign w:val="center"/>
          </w:tcPr>
          <w:p>
            <w:pPr>
              <w:spacing w:line="276"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802" w:type="dxa"/>
            <w:vMerge w:val="continue"/>
            <w:tcBorders>
              <w:left w:val="nil"/>
              <w:bottom w:val="double" w:color="auto" w:sz="4" w:space="0"/>
              <w:right w:val="double" w:color="auto" w:sz="4" w:space="0"/>
            </w:tcBorders>
            <w:vAlign w:val="center"/>
          </w:tcPr>
          <w:p>
            <w:pPr>
              <w:spacing w:line="276" w:lineRule="auto"/>
              <w:rPr>
                <w:rFonts w:ascii="宋体" w:hAnsi="宋体" w:cs="宋体"/>
                <w:szCs w:val="21"/>
                <w:highlight w:val="none"/>
              </w:rPr>
            </w:pPr>
          </w:p>
        </w:tc>
        <w:tc>
          <w:tcPr>
            <w:tcW w:w="3543" w:type="dxa"/>
            <w:tcBorders>
              <w:top w:val="single" w:color="auto" w:sz="4" w:space="0"/>
              <w:left w:val="double" w:color="auto" w:sz="4" w:space="0"/>
              <w:bottom w:val="double" w:color="auto" w:sz="4" w:space="0"/>
              <w:right w:val="single" w:color="auto" w:sz="4" w:space="0"/>
            </w:tcBorders>
            <w:vAlign w:val="center"/>
          </w:tcPr>
          <w:p>
            <w:pPr>
              <w:spacing w:line="276" w:lineRule="auto"/>
              <w:rPr>
                <w:rFonts w:ascii="宋体" w:hAnsi="宋体" w:cs="宋体"/>
                <w:szCs w:val="21"/>
                <w:highlight w:val="none"/>
              </w:rPr>
            </w:pPr>
            <w:r>
              <w:rPr>
                <w:rFonts w:hint="eastAsia" w:ascii="宋体" w:hAnsi="宋体" w:cs="宋体"/>
                <w:szCs w:val="21"/>
                <w:highlight w:val="none"/>
              </w:rPr>
              <w:t>服务投诉和整改情况（5分）</w:t>
            </w:r>
          </w:p>
        </w:tc>
        <w:tc>
          <w:tcPr>
            <w:tcW w:w="2177" w:type="dxa"/>
            <w:tcBorders>
              <w:top w:val="single" w:color="auto" w:sz="4" w:space="0"/>
              <w:left w:val="single" w:color="auto" w:sz="4" w:space="0"/>
              <w:bottom w:val="double" w:color="auto" w:sz="4" w:space="0"/>
              <w:right w:val="nil"/>
            </w:tcBorders>
            <w:vAlign w:val="center"/>
          </w:tcPr>
          <w:p>
            <w:pPr>
              <w:spacing w:line="276"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2" w:type="dxa"/>
            <w:vMerge w:val="restart"/>
            <w:tcBorders>
              <w:top w:val="double" w:color="auto" w:sz="4" w:space="0"/>
              <w:left w:val="nil"/>
              <w:right w:val="double" w:color="auto" w:sz="4" w:space="0"/>
            </w:tcBorders>
            <w:vAlign w:val="center"/>
          </w:tcPr>
          <w:p>
            <w:pPr>
              <w:spacing w:line="276" w:lineRule="auto"/>
              <w:rPr>
                <w:rFonts w:ascii="宋体" w:hAnsi="宋体" w:cs="宋体"/>
                <w:szCs w:val="21"/>
                <w:highlight w:val="none"/>
              </w:rPr>
            </w:pPr>
            <w:r>
              <w:rPr>
                <w:rFonts w:hint="eastAsia" w:ascii="宋体" w:hAnsi="宋体" w:cs="宋体"/>
                <w:szCs w:val="21"/>
                <w:highlight w:val="none"/>
              </w:rPr>
              <w:t>卫生状况（30分）</w:t>
            </w:r>
          </w:p>
        </w:tc>
        <w:tc>
          <w:tcPr>
            <w:tcW w:w="3543" w:type="dxa"/>
            <w:tcBorders>
              <w:top w:val="double" w:color="auto" w:sz="4" w:space="0"/>
              <w:left w:val="double" w:color="auto" w:sz="4" w:space="0"/>
              <w:bottom w:val="single" w:color="auto" w:sz="4" w:space="0"/>
              <w:right w:val="single" w:color="auto" w:sz="4" w:space="0"/>
            </w:tcBorders>
            <w:vAlign w:val="center"/>
          </w:tcPr>
          <w:p>
            <w:pPr>
              <w:spacing w:line="276" w:lineRule="auto"/>
              <w:rPr>
                <w:rFonts w:ascii="宋体" w:hAnsi="宋体" w:cs="宋体"/>
                <w:szCs w:val="21"/>
                <w:highlight w:val="none"/>
              </w:rPr>
            </w:pPr>
            <w:r>
              <w:rPr>
                <w:rFonts w:hint="eastAsia" w:ascii="宋体" w:hAnsi="宋体" w:cs="宋体"/>
                <w:szCs w:val="21"/>
                <w:highlight w:val="none"/>
              </w:rPr>
              <w:t>餐具洁净度（10分）</w:t>
            </w:r>
          </w:p>
        </w:tc>
        <w:tc>
          <w:tcPr>
            <w:tcW w:w="2177" w:type="dxa"/>
            <w:tcBorders>
              <w:top w:val="double" w:color="auto" w:sz="4" w:space="0"/>
              <w:left w:val="single" w:color="auto" w:sz="4" w:space="0"/>
              <w:bottom w:val="single" w:color="auto" w:sz="4" w:space="0"/>
              <w:right w:val="nil"/>
            </w:tcBorders>
            <w:vAlign w:val="center"/>
          </w:tcPr>
          <w:p>
            <w:pPr>
              <w:spacing w:line="276"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802" w:type="dxa"/>
            <w:vMerge w:val="continue"/>
            <w:tcBorders>
              <w:left w:val="nil"/>
              <w:right w:val="double" w:color="auto" w:sz="4" w:space="0"/>
            </w:tcBorders>
            <w:vAlign w:val="center"/>
          </w:tcPr>
          <w:p>
            <w:pPr>
              <w:spacing w:line="276" w:lineRule="auto"/>
              <w:rPr>
                <w:rFonts w:ascii="宋体" w:hAnsi="宋体" w:cs="宋体"/>
                <w:szCs w:val="21"/>
                <w:highlight w:val="none"/>
              </w:rPr>
            </w:pPr>
          </w:p>
        </w:tc>
        <w:tc>
          <w:tcPr>
            <w:tcW w:w="3543" w:type="dxa"/>
            <w:tcBorders>
              <w:top w:val="single" w:color="auto" w:sz="4" w:space="0"/>
              <w:left w:val="double" w:color="auto" w:sz="4" w:space="0"/>
              <w:bottom w:val="single" w:color="auto" w:sz="4" w:space="0"/>
              <w:right w:val="single" w:color="auto" w:sz="4" w:space="0"/>
            </w:tcBorders>
            <w:vAlign w:val="center"/>
          </w:tcPr>
          <w:p>
            <w:pPr>
              <w:spacing w:line="276" w:lineRule="auto"/>
              <w:rPr>
                <w:rFonts w:ascii="宋体" w:hAnsi="宋体" w:cs="宋体"/>
                <w:szCs w:val="21"/>
                <w:highlight w:val="none"/>
              </w:rPr>
            </w:pPr>
            <w:r>
              <w:rPr>
                <w:rFonts w:hint="eastAsia" w:ascii="宋体" w:hAnsi="宋体" w:cs="宋体"/>
                <w:szCs w:val="21"/>
                <w:highlight w:val="none"/>
              </w:rPr>
              <w:t>餐桌洁净度（5分）</w:t>
            </w:r>
          </w:p>
        </w:tc>
        <w:tc>
          <w:tcPr>
            <w:tcW w:w="2177" w:type="dxa"/>
            <w:tcBorders>
              <w:top w:val="single" w:color="auto" w:sz="4" w:space="0"/>
              <w:left w:val="single" w:color="auto" w:sz="4" w:space="0"/>
              <w:bottom w:val="single" w:color="auto" w:sz="4" w:space="0"/>
              <w:right w:val="nil"/>
            </w:tcBorders>
            <w:vAlign w:val="center"/>
          </w:tcPr>
          <w:p>
            <w:pPr>
              <w:spacing w:line="276"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802" w:type="dxa"/>
            <w:vMerge w:val="continue"/>
            <w:tcBorders>
              <w:left w:val="nil"/>
              <w:right w:val="double" w:color="auto" w:sz="4" w:space="0"/>
            </w:tcBorders>
            <w:vAlign w:val="center"/>
          </w:tcPr>
          <w:p>
            <w:pPr>
              <w:spacing w:line="276" w:lineRule="auto"/>
              <w:rPr>
                <w:rFonts w:ascii="宋体" w:hAnsi="宋体" w:cs="宋体"/>
                <w:szCs w:val="21"/>
                <w:highlight w:val="none"/>
              </w:rPr>
            </w:pPr>
          </w:p>
        </w:tc>
        <w:tc>
          <w:tcPr>
            <w:tcW w:w="3543" w:type="dxa"/>
            <w:tcBorders>
              <w:top w:val="single" w:color="auto" w:sz="4" w:space="0"/>
              <w:left w:val="double" w:color="auto" w:sz="4" w:space="0"/>
              <w:bottom w:val="single" w:color="auto" w:sz="4" w:space="0"/>
              <w:right w:val="single" w:color="auto" w:sz="4" w:space="0"/>
            </w:tcBorders>
            <w:vAlign w:val="center"/>
          </w:tcPr>
          <w:p>
            <w:pPr>
              <w:spacing w:line="276" w:lineRule="auto"/>
              <w:rPr>
                <w:rFonts w:ascii="宋体" w:hAnsi="宋体" w:cs="宋体"/>
                <w:szCs w:val="21"/>
                <w:highlight w:val="none"/>
              </w:rPr>
            </w:pPr>
            <w:r>
              <w:rPr>
                <w:rFonts w:hint="eastAsia" w:ascii="宋体" w:hAnsi="宋体" w:cs="宋体"/>
                <w:szCs w:val="21"/>
                <w:highlight w:val="none"/>
              </w:rPr>
              <w:t>地板洁净度（5分）</w:t>
            </w:r>
          </w:p>
        </w:tc>
        <w:tc>
          <w:tcPr>
            <w:tcW w:w="2177" w:type="dxa"/>
            <w:tcBorders>
              <w:top w:val="single" w:color="auto" w:sz="4" w:space="0"/>
              <w:left w:val="single" w:color="auto" w:sz="4" w:space="0"/>
              <w:bottom w:val="single" w:color="auto" w:sz="4" w:space="0"/>
              <w:right w:val="nil"/>
            </w:tcBorders>
            <w:vAlign w:val="center"/>
          </w:tcPr>
          <w:p>
            <w:pPr>
              <w:spacing w:line="276"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802" w:type="dxa"/>
            <w:vMerge w:val="continue"/>
            <w:tcBorders>
              <w:left w:val="nil"/>
              <w:right w:val="double" w:color="auto" w:sz="4" w:space="0"/>
            </w:tcBorders>
            <w:vAlign w:val="center"/>
          </w:tcPr>
          <w:p>
            <w:pPr>
              <w:spacing w:line="276" w:lineRule="auto"/>
              <w:rPr>
                <w:rFonts w:ascii="宋体" w:hAnsi="宋体" w:cs="宋体"/>
                <w:szCs w:val="21"/>
                <w:highlight w:val="none"/>
              </w:rPr>
            </w:pPr>
          </w:p>
        </w:tc>
        <w:tc>
          <w:tcPr>
            <w:tcW w:w="3543" w:type="dxa"/>
            <w:tcBorders>
              <w:top w:val="single" w:color="auto" w:sz="4" w:space="0"/>
              <w:left w:val="double" w:color="auto" w:sz="4" w:space="0"/>
              <w:bottom w:val="single" w:color="auto" w:sz="4" w:space="0"/>
              <w:right w:val="single" w:color="auto" w:sz="4" w:space="0"/>
            </w:tcBorders>
            <w:vAlign w:val="center"/>
          </w:tcPr>
          <w:p>
            <w:pPr>
              <w:spacing w:line="276" w:lineRule="auto"/>
              <w:rPr>
                <w:rFonts w:ascii="宋体" w:hAnsi="宋体" w:cs="宋体"/>
                <w:szCs w:val="21"/>
                <w:highlight w:val="none"/>
              </w:rPr>
            </w:pPr>
            <w:r>
              <w:rPr>
                <w:rFonts w:hint="eastAsia" w:ascii="宋体" w:hAnsi="宋体" w:cs="宋体"/>
                <w:szCs w:val="21"/>
                <w:highlight w:val="none"/>
              </w:rPr>
              <w:t>工作人员着装干净度（5分）</w:t>
            </w:r>
          </w:p>
        </w:tc>
        <w:tc>
          <w:tcPr>
            <w:tcW w:w="2177" w:type="dxa"/>
            <w:tcBorders>
              <w:top w:val="single" w:color="auto" w:sz="4" w:space="0"/>
              <w:left w:val="single" w:color="auto" w:sz="4" w:space="0"/>
              <w:bottom w:val="single" w:color="auto" w:sz="4" w:space="0"/>
              <w:right w:val="nil"/>
            </w:tcBorders>
            <w:vAlign w:val="center"/>
          </w:tcPr>
          <w:p>
            <w:pPr>
              <w:spacing w:line="276"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02" w:type="dxa"/>
            <w:vMerge w:val="continue"/>
            <w:tcBorders>
              <w:left w:val="nil"/>
              <w:right w:val="double" w:color="auto" w:sz="4" w:space="0"/>
            </w:tcBorders>
            <w:vAlign w:val="center"/>
          </w:tcPr>
          <w:p>
            <w:pPr>
              <w:spacing w:line="276" w:lineRule="auto"/>
              <w:rPr>
                <w:rFonts w:ascii="宋体" w:hAnsi="宋体" w:cs="宋体"/>
                <w:szCs w:val="21"/>
                <w:highlight w:val="none"/>
              </w:rPr>
            </w:pPr>
          </w:p>
        </w:tc>
        <w:tc>
          <w:tcPr>
            <w:tcW w:w="3543" w:type="dxa"/>
            <w:tcBorders>
              <w:top w:val="single" w:color="auto" w:sz="4" w:space="0"/>
              <w:left w:val="double" w:color="auto" w:sz="4" w:space="0"/>
              <w:bottom w:val="single" w:color="auto" w:sz="4" w:space="0"/>
              <w:right w:val="single" w:color="auto" w:sz="4" w:space="0"/>
            </w:tcBorders>
            <w:vAlign w:val="center"/>
          </w:tcPr>
          <w:p>
            <w:pPr>
              <w:spacing w:line="276" w:lineRule="auto"/>
              <w:rPr>
                <w:rFonts w:ascii="宋体" w:hAnsi="宋体" w:cs="宋体"/>
                <w:szCs w:val="21"/>
                <w:highlight w:val="none"/>
              </w:rPr>
            </w:pPr>
            <w:r>
              <w:rPr>
                <w:rFonts w:hint="eastAsia" w:ascii="宋体" w:hAnsi="宋体" w:cs="宋体"/>
                <w:szCs w:val="21"/>
                <w:highlight w:val="none"/>
              </w:rPr>
              <w:t>整体就餐环境（5分）</w:t>
            </w:r>
          </w:p>
        </w:tc>
        <w:tc>
          <w:tcPr>
            <w:tcW w:w="2177" w:type="dxa"/>
            <w:tcBorders>
              <w:top w:val="single" w:color="auto" w:sz="4" w:space="0"/>
              <w:left w:val="single" w:color="auto" w:sz="4" w:space="0"/>
              <w:bottom w:val="single" w:color="auto" w:sz="4" w:space="0"/>
              <w:right w:val="nil"/>
            </w:tcBorders>
            <w:vAlign w:val="center"/>
          </w:tcPr>
          <w:p>
            <w:pPr>
              <w:spacing w:line="276"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802" w:type="dxa"/>
            <w:tcBorders>
              <w:left w:val="nil"/>
              <w:bottom w:val="single" w:color="auto" w:sz="18" w:space="0"/>
              <w:right w:val="double" w:color="auto" w:sz="4" w:space="0"/>
            </w:tcBorders>
            <w:vAlign w:val="center"/>
          </w:tcPr>
          <w:p>
            <w:pPr>
              <w:spacing w:line="276" w:lineRule="auto"/>
              <w:rPr>
                <w:rFonts w:ascii="宋体" w:hAnsi="宋体" w:cs="宋体"/>
                <w:szCs w:val="21"/>
                <w:highlight w:val="none"/>
              </w:rPr>
            </w:pPr>
            <w:r>
              <w:rPr>
                <w:rFonts w:hint="eastAsia" w:ascii="宋体" w:hAnsi="宋体" w:cs="宋体"/>
                <w:szCs w:val="21"/>
                <w:highlight w:val="none"/>
              </w:rPr>
              <w:t>意见与建议</w:t>
            </w:r>
          </w:p>
        </w:tc>
        <w:tc>
          <w:tcPr>
            <w:tcW w:w="5720" w:type="dxa"/>
            <w:gridSpan w:val="2"/>
            <w:tcBorders>
              <w:top w:val="single" w:color="auto" w:sz="4" w:space="0"/>
              <w:left w:val="double" w:color="auto" w:sz="4" w:space="0"/>
              <w:bottom w:val="single" w:color="auto" w:sz="18" w:space="0"/>
              <w:right w:val="nil"/>
            </w:tcBorders>
            <w:vAlign w:val="center"/>
          </w:tcPr>
          <w:p>
            <w:pPr>
              <w:spacing w:line="276" w:lineRule="auto"/>
              <w:rPr>
                <w:rFonts w:ascii="宋体" w:hAnsi="宋体" w:cs="宋体"/>
                <w:szCs w:val="21"/>
                <w:highlight w:val="none"/>
              </w:rPr>
            </w:pPr>
          </w:p>
        </w:tc>
      </w:tr>
    </w:tbl>
    <w:p>
      <w:pPr>
        <w:spacing w:line="276" w:lineRule="auto"/>
        <w:ind w:firstLine="1440" w:firstLineChars="600"/>
        <w:rPr>
          <w:rFonts w:ascii="宋体" w:hAnsi="宋体" w:cs="宋体"/>
          <w:sz w:val="24"/>
          <w:szCs w:val="24"/>
          <w:highlight w:val="none"/>
        </w:rPr>
      </w:pPr>
    </w:p>
    <w:p>
      <w:pPr>
        <w:spacing w:line="276" w:lineRule="auto"/>
        <w:ind w:firstLine="1920" w:firstLineChars="800"/>
        <w:rPr>
          <w:rFonts w:ascii="宋体" w:hAnsi="宋体" w:cs="宋体"/>
          <w:sz w:val="24"/>
          <w:szCs w:val="24"/>
          <w:highlight w:val="none"/>
        </w:rPr>
      </w:pPr>
      <w:r>
        <w:rPr>
          <w:rFonts w:hint="eastAsia" w:ascii="宋体" w:hAnsi="宋体" w:cs="宋体"/>
          <w:sz w:val="24"/>
          <w:szCs w:val="24"/>
          <w:highlight w:val="none"/>
        </w:rPr>
        <w:t xml:space="preserve">完成问卷调查时间：    年  </w:t>
      </w:r>
      <w:r>
        <w:rPr>
          <w:rFonts w:ascii="宋体" w:hAnsi="宋体" w:cs="宋体"/>
          <w:sz w:val="24"/>
          <w:szCs w:val="24"/>
          <w:highlight w:val="none"/>
        </w:rPr>
        <w:t xml:space="preserve">  </w:t>
      </w:r>
      <w:r>
        <w:rPr>
          <w:rFonts w:hint="eastAsia" w:ascii="宋体" w:hAnsi="宋体" w:cs="宋体"/>
          <w:sz w:val="24"/>
          <w:szCs w:val="24"/>
          <w:highlight w:val="none"/>
        </w:rPr>
        <w:t xml:space="preserve">月 </w:t>
      </w:r>
      <w:r>
        <w:rPr>
          <w:rFonts w:ascii="宋体" w:hAnsi="宋体" w:cs="宋体"/>
          <w:sz w:val="24"/>
          <w:szCs w:val="24"/>
          <w:highlight w:val="none"/>
        </w:rPr>
        <w:t xml:space="preserve">   </w:t>
      </w:r>
      <w:r>
        <w:rPr>
          <w:rFonts w:hint="eastAsia" w:ascii="宋体" w:hAnsi="宋体" w:cs="宋体"/>
          <w:sz w:val="24"/>
          <w:szCs w:val="24"/>
          <w:highlight w:val="none"/>
        </w:rPr>
        <w:t>日</w:t>
      </w:r>
    </w:p>
    <w:p>
      <w:pPr>
        <w:spacing w:line="276" w:lineRule="auto"/>
        <w:ind w:firstLine="480" w:firstLineChars="200"/>
        <w:rPr>
          <w:rFonts w:ascii="宋体" w:hAnsi="宋体" w:eastAsia="宋体" w:cs="宋体"/>
          <w:sz w:val="24"/>
          <w:szCs w:val="24"/>
          <w:highlight w:val="none"/>
        </w:rPr>
      </w:pPr>
    </w:p>
    <w:p>
      <w:pPr>
        <w:spacing w:line="276"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备注：学校可根据实际情况随时对本办法进行修订，成交人须按修订后的办法执行。</w:t>
      </w:r>
    </w:p>
    <w:p>
      <w:pPr>
        <w:spacing w:line="276" w:lineRule="auto"/>
        <w:rPr>
          <w:rFonts w:ascii="宋体" w:hAnsi="宋体" w:eastAsia="宋体" w:cs="宋体"/>
          <w:sz w:val="24"/>
          <w:szCs w:val="24"/>
          <w:highlight w:val="none"/>
        </w:rPr>
      </w:pPr>
    </w:p>
    <w:p>
      <w:pPr>
        <w:spacing w:line="276" w:lineRule="auto"/>
        <w:rPr>
          <w:rFonts w:ascii="宋体" w:hAnsi="宋体" w:eastAsia="宋体" w:cs="宋体"/>
          <w:sz w:val="24"/>
          <w:szCs w:val="24"/>
          <w:highlight w:val="none"/>
        </w:rPr>
      </w:pPr>
    </w:p>
    <w:p>
      <w:pPr>
        <w:spacing w:line="276" w:lineRule="auto"/>
        <w:ind w:firstLine="480"/>
        <w:jc w:val="center"/>
        <w:rPr>
          <w:rFonts w:ascii="宋体" w:hAnsi="宋体" w:cs="宋体"/>
          <w:sz w:val="24"/>
          <w:szCs w:val="24"/>
          <w:highlight w:val="none"/>
        </w:rPr>
      </w:pPr>
      <w:r>
        <w:rPr>
          <w:rFonts w:hint="eastAsia" w:ascii="宋体" w:hAnsi="宋体" w:cs="宋体"/>
          <w:sz w:val="24"/>
          <w:szCs w:val="24"/>
          <w:highlight w:val="none"/>
        </w:rPr>
        <w:t xml:space="preserve">             四川外国语大学后勤基建管理处        年    月    日</w:t>
      </w:r>
    </w:p>
    <w:p>
      <w:pPr>
        <w:spacing w:line="276" w:lineRule="auto"/>
        <w:rPr>
          <w:rFonts w:ascii="宋体" w:hAnsi="宋体" w:eastAsia="宋体" w:cs="宋体"/>
          <w:sz w:val="24"/>
          <w:szCs w:val="24"/>
          <w:highlight w:val="none"/>
        </w:rPr>
      </w:pPr>
    </w:p>
    <w:p>
      <w:pPr>
        <w:rPr>
          <w:highlight w:val="none"/>
        </w:rPr>
      </w:pPr>
    </w:p>
    <w:p>
      <w:pPr>
        <w:rPr>
          <w:highlight w:val="none"/>
        </w:rPr>
      </w:pPr>
    </w:p>
    <w:p>
      <w:pPr>
        <w:rPr>
          <w:highlight w:val="none"/>
        </w:rPr>
      </w:pPr>
    </w:p>
    <w:p>
      <w:pPr>
        <w:spacing w:line="276" w:lineRule="auto"/>
        <w:jc w:val="left"/>
        <w:rPr>
          <w:rFonts w:ascii="宋体" w:hAnsi="宋体" w:cs="仿宋"/>
          <w:b/>
          <w:bCs/>
          <w:sz w:val="24"/>
          <w:szCs w:val="24"/>
          <w:highlight w:val="none"/>
        </w:rPr>
      </w:pPr>
      <w:r>
        <w:rPr>
          <w:rFonts w:hint="eastAsia" w:ascii="宋体" w:hAnsi="宋体" w:cs="仿宋"/>
          <w:b/>
          <w:bCs/>
          <w:sz w:val="24"/>
          <w:szCs w:val="24"/>
          <w:highlight w:val="none"/>
        </w:rPr>
        <w:t>附件</w:t>
      </w:r>
      <w:r>
        <w:rPr>
          <w:rFonts w:ascii="宋体" w:hAnsi="宋体" w:cs="仿宋"/>
          <w:b/>
          <w:bCs/>
          <w:sz w:val="24"/>
          <w:szCs w:val="24"/>
          <w:highlight w:val="none"/>
        </w:rPr>
        <w:t>4</w:t>
      </w:r>
    </w:p>
    <w:p>
      <w:pPr>
        <w:jc w:val="center"/>
        <w:rPr>
          <w:b/>
          <w:sz w:val="24"/>
          <w:highlight w:val="none"/>
        </w:rPr>
      </w:pPr>
      <w:r>
        <w:rPr>
          <w:rFonts w:hint="eastAsia"/>
          <w:b/>
          <w:sz w:val="24"/>
          <w:highlight w:val="none"/>
        </w:rPr>
        <w:t>四川外国语大学东校区学生食堂联合经营项目报名表</w:t>
      </w:r>
    </w:p>
    <w:tbl>
      <w:tblPr>
        <w:tblStyle w:val="33"/>
        <w:tblpPr w:leftFromText="180" w:rightFromText="180" w:vertAnchor="text" w:horzAnchor="margin" w:tblpY="295"/>
        <w:tblOverlap w:val="never"/>
        <w:tblW w:w="8611" w:type="dxa"/>
        <w:tblInd w:w="0" w:type="dxa"/>
        <w:tblLayout w:type="fixed"/>
        <w:tblCellMar>
          <w:top w:w="0" w:type="dxa"/>
          <w:left w:w="108" w:type="dxa"/>
          <w:bottom w:w="0" w:type="dxa"/>
          <w:right w:w="108" w:type="dxa"/>
        </w:tblCellMar>
      </w:tblPr>
      <w:tblGrid>
        <w:gridCol w:w="1543"/>
        <w:gridCol w:w="2099"/>
        <w:gridCol w:w="1413"/>
        <w:gridCol w:w="2143"/>
        <w:gridCol w:w="1413"/>
      </w:tblGrid>
      <w:tr>
        <w:tblPrEx>
          <w:tblCellMar>
            <w:top w:w="0" w:type="dxa"/>
            <w:left w:w="108" w:type="dxa"/>
            <w:bottom w:w="0" w:type="dxa"/>
            <w:right w:w="108" w:type="dxa"/>
          </w:tblCellMar>
        </w:tblPrEx>
        <w:trPr>
          <w:trHeight w:val="1647"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widowControl/>
              <w:textAlignment w:val="center"/>
              <w:rPr>
                <w:rFonts w:ascii="宋体" w:hAnsi="宋体" w:eastAsia="宋体" w:cs="宋体"/>
                <w:b/>
                <w:bCs/>
                <w:color w:val="000000"/>
                <w:sz w:val="24"/>
                <w:highlight w:val="none"/>
              </w:rPr>
            </w:pPr>
            <w:r>
              <w:rPr>
                <w:rFonts w:hint="eastAsia" w:ascii="宋体" w:hAnsi="宋体" w:eastAsia="宋体" w:cs="宋体"/>
                <w:b/>
                <w:bCs/>
                <w:color w:val="000000"/>
                <w:kern w:val="0"/>
                <w:sz w:val="24"/>
                <w:highlight w:val="none"/>
                <w:lang w:bidi="ar"/>
              </w:rPr>
              <w:t>参竞人名称</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widowControl/>
              <w:textAlignment w:val="center"/>
              <w:rPr>
                <w:rFonts w:ascii="宋体" w:hAnsi="宋体" w:eastAsia="宋体" w:cs="宋体"/>
                <w:b/>
                <w:bCs/>
                <w:color w:val="000000"/>
                <w:sz w:val="24"/>
                <w:highlight w:val="none"/>
              </w:rPr>
            </w:pPr>
            <w:r>
              <w:rPr>
                <w:rFonts w:hint="eastAsia" w:ascii="宋体" w:hAnsi="宋体" w:eastAsia="宋体" w:cs="宋体"/>
                <w:b/>
                <w:bCs/>
                <w:color w:val="000000"/>
                <w:kern w:val="0"/>
                <w:sz w:val="24"/>
                <w:highlight w:val="none"/>
                <w:lang w:bidi="ar"/>
              </w:rPr>
              <w:t>公司税号</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widowControl/>
              <w:textAlignment w:val="center"/>
              <w:rPr>
                <w:rFonts w:ascii="宋体" w:hAnsi="宋体" w:eastAsia="宋体" w:cs="宋体"/>
                <w:b/>
                <w:bCs/>
                <w:color w:val="000000"/>
                <w:sz w:val="24"/>
                <w:highlight w:val="none"/>
              </w:rPr>
            </w:pPr>
            <w:r>
              <w:rPr>
                <w:rFonts w:hint="eastAsia" w:ascii="宋体" w:hAnsi="宋体" w:eastAsia="宋体" w:cs="宋体"/>
                <w:b/>
                <w:bCs/>
                <w:color w:val="000000"/>
                <w:kern w:val="0"/>
                <w:sz w:val="24"/>
                <w:highlight w:val="none"/>
                <w:lang w:bidi="ar"/>
              </w:rPr>
              <w:t>参竞包号</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widowControl/>
              <w:textAlignment w:val="center"/>
              <w:rPr>
                <w:rFonts w:ascii="宋体" w:hAnsi="宋体" w:eastAsia="宋体" w:cs="宋体"/>
                <w:b/>
                <w:bCs/>
                <w:color w:val="000000"/>
                <w:sz w:val="24"/>
                <w:highlight w:val="none"/>
              </w:rPr>
            </w:pPr>
            <w:r>
              <w:rPr>
                <w:rFonts w:hint="eastAsia" w:ascii="宋体" w:hAnsi="宋体" w:eastAsia="宋体" w:cs="宋体"/>
                <w:b/>
                <w:bCs/>
                <w:color w:val="000000"/>
                <w:kern w:val="0"/>
                <w:sz w:val="24"/>
                <w:highlight w:val="none"/>
                <w:lang w:bidi="ar"/>
              </w:rPr>
              <w:t>联系方式</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widowControl/>
              <w:textAlignment w:val="center"/>
              <w:rPr>
                <w:rFonts w:ascii="宋体" w:hAnsi="宋体" w:eastAsia="宋体" w:cs="宋体"/>
                <w:b/>
                <w:bCs/>
                <w:color w:val="000000"/>
                <w:kern w:val="0"/>
                <w:sz w:val="24"/>
                <w:highlight w:val="none"/>
                <w:lang w:bidi="ar"/>
              </w:rPr>
            </w:pPr>
            <w:r>
              <w:rPr>
                <w:rFonts w:hint="eastAsia" w:ascii="宋体" w:hAnsi="宋体" w:eastAsia="宋体" w:cs="宋体"/>
                <w:b/>
                <w:bCs/>
                <w:color w:val="000000"/>
                <w:kern w:val="0"/>
                <w:sz w:val="24"/>
                <w:highlight w:val="none"/>
                <w:lang w:bidi="ar"/>
              </w:rPr>
              <w:t>QQ邮箱</w:t>
            </w:r>
          </w:p>
        </w:tc>
      </w:tr>
      <w:tr>
        <w:tblPrEx>
          <w:tblCellMar>
            <w:top w:w="0" w:type="dxa"/>
            <w:left w:w="108" w:type="dxa"/>
            <w:bottom w:w="0" w:type="dxa"/>
            <w:right w:w="108" w:type="dxa"/>
          </w:tblCellMar>
        </w:tblPrEx>
        <w:trPr>
          <w:trHeight w:val="2052"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4"/>
                <w:highlight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4"/>
                <w:highlight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4"/>
                <w:highlight w:val="none"/>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4"/>
                <w:highlight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4"/>
                <w:highlight w:val="none"/>
              </w:rPr>
            </w:pPr>
          </w:p>
        </w:tc>
      </w:tr>
    </w:tbl>
    <w:p>
      <w:pPr>
        <w:spacing w:line="276" w:lineRule="auto"/>
        <w:rPr>
          <w:rFonts w:ascii="宋体" w:hAnsi="宋体" w:eastAsia="宋体" w:cs="宋体"/>
          <w:sz w:val="24"/>
          <w:szCs w:val="24"/>
          <w:highlight w:val="none"/>
        </w:rPr>
        <w:sectPr>
          <w:pgSz w:w="11906" w:h="16838"/>
          <w:pgMar w:top="1440" w:right="1134" w:bottom="1440" w:left="1797" w:header="851" w:footer="992" w:gutter="0"/>
          <w:cols w:space="720" w:num="1"/>
          <w:docGrid w:type="lines" w:linePitch="312" w:charSpace="-5735"/>
        </w:sectPr>
      </w:pPr>
    </w:p>
    <w:p>
      <w:pPr>
        <w:pStyle w:val="3"/>
        <w:tabs>
          <w:tab w:val="clear" w:pos="3360"/>
        </w:tabs>
        <w:spacing w:before="312" w:after="156" w:line="276" w:lineRule="auto"/>
        <w:rPr>
          <w:b/>
          <w:sz w:val="24"/>
          <w:highlight w:val="none"/>
        </w:rPr>
      </w:pPr>
    </w:p>
    <w:sectPr>
      <w:pgSz w:w="11906" w:h="16838"/>
      <w:pgMar w:top="1440" w:right="1134" w:bottom="1440" w:left="1797" w:header="851" w:footer="992" w:gutter="0"/>
      <w:cols w:space="720" w:num="1"/>
      <w:docGrid w:type="lines" w:linePitch="312"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文鼎粗黑">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915172"/>
    </w:sdtPr>
    <w:sdtContent>
      <w:sdt>
        <w:sdtPr>
          <w:id w:val="1728636285"/>
        </w:sdtPr>
        <w:sdtContent>
          <w:p>
            <w:pPr>
              <w:pStyle w:val="2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58</w:t>
            </w:r>
            <w:r>
              <w:rPr>
                <w:b/>
                <w:bCs/>
                <w:sz w:val="24"/>
                <w:szCs w:val="24"/>
              </w:rPr>
              <w:fldChar w:fldCharType="end"/>
            </w:r>
          </w:p>
        </w:sdtContent>
      </w:sdt>
    </w:sdtContent>
  </w:sdt>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12" w:space="1"/>
      </w:pBdr>
      <w:jc w:val="both"/>
      <w:rPr>
        <w:rFonts w:ascii="宋体" w:hAnsi="宋体"/>
        <w:sz w:val="21"/>
        <w:szCs w:val="21"/>
      </w:rPr>
    </w:pPr>
    <w:r>
      <w:rPr>
        <w:rFonts w:hint="eastAsia"/>
        <w:sz w:val="21"/>
        <w:szCs w:val="21"/>
      </w:rPr>
      <w:t>四川外国语大学</w:t>
    </w:r>
    <w:r>
      <w:rPr>
        <w:rFonts w:hint="eastAsia" w:ascii="宋体" w:hAnsi="宋体"/>
        <w:sz w:val="21"/>
        <w:szCs w:val="21"/>
      </w:rPr>
      <w:t xml:space="preserve">                                        </w:t>
    </w:r>
    <w:r>
      <w:rPr>
        <w:rFonts w:hint="eastAsia"/>
        <w:sz w:val="21"/>
        <w:szCs w:val="21"/>
      </w:rPr>
      <w:t>学生食堂联合经营项目文件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787446"/>
    <w:multiLevelType w:val="singleLevel"/>
    <w:tmpl w:val="DA787446"/>
    <w:lvl w:ilvl="0" w:tentative="0">
      <w:start w:val="4"/>
      <w:numFmt w:val="decimal"/>
      <w:lvlText w:val="%1."/>
      <w:lvlJc w:val="left"/>
      <w:pPr>
        <w:tabs>
          <w:tab w:val="left" w:pos="312"/>
        </w:tabs>
      </w:pPr>
    </w:lvl>
  </w:abstractNum>
  <w:abstractNum w:abstractNumId="1">
    <w:nsid w:val="F24DA9AD"/>
    <w:multiLevelType w:val="singleLevel"/>
    <w:tmpl w:val="F24DA9AD"/>
    <w:lvl w:ilvl="0" w:tentative="0">
      <w:start w:val="2"/>
      <w:numFmt w:val="chineseCounting"/>
      <w:suff w:val="nothing"/>
      <w:lvlText w:val="（%1）"/>
      <w:lvlJc w:val="left"/>
      <w:rPr>
        <w:rFonts w:hint="eastAsia"/>
      </w:rPr>
    </w:lvl>
  </w:abstractNum>
  <w:abstractNum w:abstractNumId="2">
    <w:nsid w:val="FF7B9D8B"/>
    <w:multiLevelType w:val="singleLevel"/>
    <w:tmpl w:val="FF7B9D8B"/>
    <w:lvl w:ilvl="0" w:tentative="0">
      <w:start w:val="2"/>
      <w:numFmt w:val="decimal"/>
      <w:suff w:val="nothing"/>
      <w:lvlText w:val="（%1）"/>
      <w:lvlJc w:val="left"/>
    </w:lvl>
  </w:abstractNum>
  <w:abstractNum w:abstractNumId="3">
    <w:nsid w:val="00000003"/>
    <w:multiLevelType w:val="multilevel"/>
    <w:tmpl w:val="00000003"/>
    <w:lvl w:ilvl="0" w:tentative="0">
      <w:start w:val="1"/>
      <w:numFmt w:val="decimal"/>
      <w:lvlText w:val="%1."/>
      <w:lvlJc w:val="left"/>
      <w:pPr>
        <w:tabs>
          <w:tab w:val="left" w:pos="1410"/>
        </w:tabs>
        <w:ind w:left="1410" w:hanging="420"/>
      </w:pPr>
    </w:lvl>
    <w:lvl w:ilvl="1" w:tentative="0">
      <w:start w:val="1"/>
      <w:numFmt w:val="lowerLetter"/>
      <w:lvlText w:val="%2)"/>
      <w:lvlJc w:val="left"/>
      <w:pPr>
        <w:tabs>
          <w:tab w:val="left" w:pos="1830"/>
        </w:tabs>
        <w:ind w:left="1830" w:hanging="420"/>
      </w:pPr>
    </w:lvl>
    <w:lvl w:ilvl="2" w:tentative="0">
      <w:start w:val="1"/>
      <w:numFmt w:val="lowerRoman"/>
      <w:lvlText w:val="%3."/>
      <w:lvlJc w:val="right"/>
      <w:pPr>
        <w:tabs>
          <w:tab w:val="left" w:pos="2250"/>
        </w:tabs>
        <w:ind w:left="2250" w:hanging="420"/>
      </w:pPr>
    </w:lvl>
    <w:lvl w:ilvl="3" w:tentative="0">
      <w:start w:val="1"/>
      <w:numFmt w:val="decimal"/>
      <w:lvlText w:val="%4."/>
      <w:lvlJc w:val="left"/>
      <w:pPr>
        <w:tabs>
          <w:tab w:val="left" w:pos="2670"/>
        </w:tabs>
        <w:ind w:left="2670" w:hanging="420"/>
      </w:pPr>
    </w:lvl>
    <w:lvl w:ilvl="4" w:tentative="0">
      <w:start w:val="1"/>
      <w:numFmt w:val="lowerLetter"/>
      <w:lvlText w:val="%5)"/>
      <w:lvlJc w:val="left"/>
      <w:pPr>
        <w:tabs>
          <w:tab w:val="left" w:pos="3090"/>
        </w:tabs>
        <w:ind w:left="3090" w:hanging="420"/>
      </w:pPr>
    </w:lvl>
    <w:lvl w:ilvl="5" w:tentative="0">
      <w:start w:val="1"/>
      <w:numFmt w:val="lowerRoman"/>
      <w:lvlText w:val="%6."/>
      <w:lvlJc w:val="right"/>
      <w:pPr>
        <w:tabs>
          <w:tab w:val="left" w:pos="3510"/>
        </w:tabs>
        <w:ind w:left="3510" w:hanging="420"/>
      </w:pPr>
    </w:lvl>
    <w:lvl w:ilvl="6" w:tentative="0">
      <w:start w:val="1"/>
      <w:numFmt w:val="decimal"/>
      <w:lvlText w:val="%7."/>
      <w:lvlJc w:val="left"/>
      <w:pPr>
        <w:tabs>
          <w:tab w:val="left" w:pos="3930"/>
        </w:tabs>
        <w:ind w:left="3930" w:hanging="420"/>
      </w:pPr>
    </w:lvl>
    <w:lvl w:ilvl="7" w:tentative="0">
      <w:start w:val="1"/>
      <w:numFmt w:val="lowerLetter"/>
      <w:lvlText w:val="%8)"/>
      <w:lvlJc w:val="left"/>
      <w:pPr>
        <w:tabs>
          <w:tab w:val="left" w:pos="4350"/>
        </w:tabs>
        <w:ind w:left="4350" w:hanging="420"/>
      </w:pPr>
    </w:lvl>
    <w:lvl w:ilvl="8" w:tentative="0">
      <w:start w:val="1"/>
      <w:numFmt w:val="lowerRoman"/>
      <w:lvlText w:val="%9."/>
      <w:lvlJc w:val="right"/>
      <w:pPr>
        <w:tabs>
          <w:tab w:val="left" w:pos="4770"/>
        </w:tabs>
        <w:ind w:left="4770" w:hanging="420"/>
      </w:pPr>
    </w:lvl>
  </w:abstractNum>
  <w:abstractNum w:abstractNumId="4">
    <w:nsid w:val="00000006"/>
    <w:multiLevelType w:val="multilevel"/>
    <w:tmpl w:val="00000006"/>
    <w:lvl w:ilvl="0" w:tentative="0">
      <w:start w:val="1"/>
      <w:numFmt w:val="chineseCountingThousand"/>
      <w:pStyle w:val="12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C"/>
    <w:multiLevelType w:val="singleLevel"/>
    <w:tmpl w:val="0000000C"/>
    <w:lvl w:ilvl="0" w:tentative="0">
      <w:start w:val="1"/>
      <w:numFmt w:val="bullet"/>
      <w:pStyle w:val="17"/>
      <w:lvlText w:val=""/>
      <w:lvlJc w:val="left"/>
      <w:pPr>
        <w:tabs>
          <w:tab w:val="left" w:pos="780"/>
        </w:tabs>
        <w:ind w:left="780" w:hanging="360"/>
      </w:pPr>
      <w:rPr>
        <w:rFonts w:hint="default" w:ascii="Wingdings" w:hAnsi="Wingdings"/>
      </w:rPr>
    </w:lvl>
  </w:abstractNum>
  <w:abstractNum w:abstractNumId="6">
    <w:nsid w:val="0000000E"/>
    <w:multiLevelType w:val="multilevel"/>
    <w:tmpl w:val="0000000E"/>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126"/>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0F"/>
    <w:multiLevelType w:val="singleLevel"/>
    <w:tmpl w:val="0000000F"/>
    <w:lvl w:ilvl="0" w:tentative="0">
      <w:start w:val="1"/>
      <w:numFmt w:val="bullet"/>
      <w:pStyle w:val="141"/>
      <w:lvlText w:val=""/>
      <w:lvlJc w:val="left"/>
      <w:pPr>
        <w:tabs>
          <w:tab w:val="left" w:pos="360"/>
        </w:tabs>
        <w:ind w:left="360" w:hanging="360"/>
      </w:pPr>
      <w:rPr>
        <w:rFonts w:hint="default" w:ascii="Wingdings" w:hAnsi="Wingdings"/>
      </w:rPr>
    </w:lvl>
  </w:abstractNum>
  <w:abstractNum w:abstractNumId="8">
    <w:nsid w:val="00000010"/>
    <w:multiLevelType w:val="multilevel"/>
    <w:tmpl w:val="00000010"/>
    <w:lvl w:ilvl="0" w:tentative="0">
      <w:start w:val="8"/>
      <w:numFmt w:val="decimal"/>
      <w:pStyle w:val="172"/>
      <w:lvlText w:val="%1."/>
      <w:lvlJc w:val="left"/>
      <w:pPr>
        <w:tabs>
          <w:tab w:val="left" w:pos="425"/>
        </w:tabs>
        <w:ind w:left="425" w:hanging="425"/>
      </w:pPr>
      <w:rPr>
        <w:rFonts w:hint="eastAsia"/>
      </w:rPr>
    </w:lvl>
    <w:lvl w:ilvl="1" w:tentative="0">
      <w:start w:val="1"/>
      <w:numFmt w:val="decimal"/>
      <w:lvlText w:val="%1.%2."/>
      <w:lvlJc w:val="left"/>
      <w:pPr>
        <w:tabs>
          <w:tab w:val="left" w:pos="747"/>
        </w:tabs>
        <w:ind w:left="747" w:hanging="567"/>
      </w:pPr>
      <w:rPr>
        <w:rFonts w:hint="eastAsia"/>
      </w:rPr>
    </w:lvl>
    <w:lvl w:ilvl="2" w:tentative="0">
      <w:start w:val="1"/>
      <w:numFmt w:val="decimal"/>
      <w:pStyle w:val="146"/>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0000011"/>
    <w:multiLevelType w:val="multilevel"/>
    <w:tmpl w:val="00000011"/>
    <w:lvl w:ilvl="0" w:tentative="0">
      <w:start w:val="1"/>
      <w:numFmt w:val="decimal"/>
      <w:pStyle w:val="21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2"/>
    <w:multiLevelType w:val="singleLevel"/>
    <w:tmpl w:val="00000012"/>
    <w:lvl w:ilvl="0" w:tentative="0">
      <w:start w:val="1"/>
      <w:numFmt w:val="bullet"/>
      <w:pStyle w:val="12"/>
      <w:lvlText w:val=""/>
      <w:lvlJc w:val="left"/>
      <w:pPr>
        <w:tabs>
          <w:tab w:val="left" w:pos="1620"/>
        </w:tabs>
        <w:ind w:left="1620" w:hanging="360"/>
      </w:pPr>
      <w:rPr>
        <w:rFonts w:hint="default" w:ascii="Wingdings" w:hAnsi="Wingdings"/>
      </w:rPr>
    </w:lvl>
  </w:abstractNum>
  <w:abstractNum w:abstractNumId="11">
    <w:nsid w:val="00000013"/>
    <w:multiLevelType w:val="multilevel"/>
    <w:tmpl w:val="00000013"/>
    <w:lvl w:ilvl="0" w:tentative="0">
      <w:start w:val="1"/>
      <w:numFmt w:val="decimal"/>
      <w:pStyle w:val="175"/>
      <w:lvlText w:val="(%1)"/>
      <w:lvlJc w:val="left"/>
      <w:pPr>
        <w:tabs>
          <w:tab w:val="left" w:pos="397"/>
        </w:tabs>
        <w:ind w:left="397" w:hanging="397"/>
      </w:pPr>
      <w:rPr>
        <w:rFonts w:hint="default" w:ascii="Arial" w:hAnsi="Arial" w:eastAsia="宋体"/>
        <w:b w:val="0"/>
        <w:i w:val="0"/>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5"/>
    <w:multiLevelType w:val="singleLevel"/>
    <w:tmpl w:val="00000015"/>
    <w:lvl w:ilvl="0" w:tentative="0">
      <w:start w:val="1"/>
      <w:numFmt w:val="bullet"/>
      <w:pStyle w:val="15"/>
      <w:lvlText w:val=""/>
      <w:lvlJc w:val="left"/>
      <w:pPr>
        <w:tabs>
          <w:tab w:val="left" w:pos="1200"/>
        </w:tabs>
        <w:ind w:left="1200" w:hanging="360"/>
      </w:pPr>
      <w:rPr>
        <w:rFonts w:hint="default" w:ascii="Wingdings" w:hAnsi="Wingdings"/>
      </w:rPr>
    </w:lvl>
  </w:abstractNum>
  <w:abstractNum w:abstractNumId="13">
    <w:nsid w:val="00000016"/>
    <w:multiLevelType w:val="multilevel"/>
    <w:tmpl w:val="00000016"/>
    <w:lvl w:ilvl="0" w:tentative="0">
      <w:start w:val="1"/>
      <w:numFmt w:val="bullet"/>
      <w:pStyle w:val="94"/>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14">
    <w:nsid w:val="00000017"/>
    <w:multiLevelType w:val="multilevel"/>
    <w:tmpl w:val="00000017"/>
    <w:lvl w:ilvl="0" w:tentative="0">
      <w:start w:val="1"/>
      <w:numFmt w:val="bullet"/>
      <w:pStyle w:val="9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00000018"/>
    <w:multiLevelType w:val="multilevel"/>
    <w:tmpl w:val="00000018"/>
    <w:lvl w:ilvl="0" w:tentative="0">
      <w:start w:val="1"/>
      <w:numFmt w:val="chineseCountingThousand"/>
      <w:pStyle w:val="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A"/>
    <w:multiLevelType w:val="multilevel"/>
    <w:tmpl w:val="0000001A"/>
    <w:lvl w:ilvl="0" w:tentative="0">
      <w:start w:val="1"/>
      <w:numFmt w:val="bullet"/>
      <w:pStyle w:val="20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C"/>
    <w:multiLevelType w:val="multilevel"/>
    <w:tmpl w:val="0000001C"/>
    <w:lvl w:ilvl="0" w:tentative="0">
      <w:start w:val="1"/>
      <w:numFmt w:val="decimal"/>
      <w:lvlText w:val="%1."/>
      <w:lvlJc w:val="left"/>
      <w:pPr>
        <w:tabs>
          <w:tab w:val="left" w:pos="1047"/>
        </w:tabs>
        <w:ind w:left="764" w:firstLine="0"/>
      </w:pPr>
      <w:rPr>
        <w:rFonts w:hint="eastAsia"/>
      </w:rPr>
    </w:lvl>
    <w:lvl w:ilvl="1" w:tentative="0">
      <w:start w:val="1"/>
      <w:numFmt w:val="decimal"/>
      <w:lvlText w:val="%2．"/>
      <w:lvlJc w:val="left"/>
      <w:pPr>
        <w:tabs>
          <w:tab w:val="left" w:pos="1260"/>
        </w:tabs>
        <w:ind w:left="126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8">
    <w:nsid w:val="0000001D"/>
    <w:multiLevelType w:val="singleLevel"/>
    <w:tmpl w:val="0000001D"/>
    <w:lvl w:ilvl="0" w:tentative="0">
      <w:start w:val="1"/>
      <w:numFmt w:val="decimal"/>
      <w:pStyle w:val="168"/>
      <w:lvlText w:val="%1)"/>
      <w:lvlJc w:val="left"/>
      <w:pPr>
        <w:tabs>
          <w:tab w:val="left" w:pos="425"/>
        </w:tabs>
        <w:ind w:left="425" w:hanging="425"/>
      </w:pPr>
      <w:rPr>
        <w:rFonts w:hint="eastAsia"/>
      </w:rPr>
    </w:lvl>
  </w:abstractNum>
  <w:abstractNum w:abstractNumId="19">
    <w:nsid w:val="0000001E"/>
    <w:multiLevelType w:val="singleLevel"/>
    <w:tmpl w:val="0000001E"/>
    <w:lvl w:ilvl="0" w:tentative="0">
      <w:start w:val="1"/>
      <w:numFmt w:val="decimal"/>
      <w:pStyle w:val="174"/>
      <w:lvlText w:val="%1."/>
      <w:lvlJc w:val="left"/>
      <w:pPr>
        <w:tabs>
          <w:tab w:val="left" w:pos="780"/>
        </w:tabs>
        <w:ind w:left="780" w:hanging="360"/>
      </w:pPr>
    </w:lvl>
  </w:abstractNum>
  <w:abstractNum w:abstractNumId="20">
    <w:nsid w:val="121AC308"/>
    <w:multiLevelType w:val="singleLevel"/>
    <w:tmpl w:val="121AC308"/>
    <w:lvl w:ilvl="0" w:tentative="0">
      <w:start w:val="3"/>
      <w:numFmt w:val="decimal"/>
      <w:lvlText w:val="%1."/>
      <w:lvlJc w:val="left"/>
      <w:pPr>
        <w:tabs>
          <w:tab w:val="left" w:pos="312"/>
        </w:tabs>
      </w:pPr>
    </w:lvl>
  </w:abstractNum>
  <w:abstractNum w:abstractNumId="21">
    <w:nsid w:val="1F036CCC"/>
    <w:multiLevelType w:val="multilevel"/>
    <w:tmpl w:val="1F036CCC"/>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460EFA4F"/>
    <w:multiLevelType w:val="singleLevel"/>
    <w:tmpl w:val="460EFA4F"/>
    <w:lvl w:ilvl="0" w:tentative="0">
      <w:start w:val="7"/>
      <w:numFmt w:val="chineseCounting"/>
      <w:suff w:val="nothing"/>
      <w:lvlText w:val="（%1）"/>
      <w:lvlJc w:val="left"/>
      <w:rPr>
        <w:rFonts w:hint="eastAsia"/>
      </w:rPr>
    </w:lvl>
  </w:abstractNum>
  <w:abstractNum w:abstractNumId="23">
    <w:nsid w:val="558EC919"/>
    <w:multiLevelType w:val="singleLevel"/>
    <w:tmpl w:val="558EC919"/>
    <w:lvl w:ilvl="0" w:tentative="0">
      <w:start w:val="6"/>
      <w:numFmt w:val="chineseCounting"/>
      <w:suff w:val="nothing"/>
      <w:lvlText w:val="%1、"/>
      <w:lvlJc w:val="left"/>
    </w:lvl>
  </w:abstractNum>
  <w:abstractNum w:abstractNumId="24">
    <w:nsid w:val="558EC933"/>
    <w:multiLevelType w:val="singleLevel"/>
    <w:tmpl w:val="558EC933"/>
    <w:lvl w:ilvl="0" w:tentative="0">
      <w:start w:val="8"/>
      <w:numFmt w:val="chineseCounting"/>
      <w:suff w:val="nothing"/>
      <w:lvlText w:val="%1、"/>
      <w:lvlJc w:val="left"/>
    </w:lvl>
  </w:abstractNum>
  <w:abstractNum w:abstractNumId="25">
    <w:nsid w:val="5D595B79"/>
    <w:multiLevelType w:val="multilevel"/>
    <w:tmpl w:val="5D595B79"/>
    <w:lvl w:ilvl="0" w:tentative="0">
      <w:start w:val="1"/>
      <w:numFmt w:val="japaneseCounting"/>
      <w:lvlText w:val="%1、"/>
      <w:lvlJc w:val="left"/>
      <w:pPr>
        <w:ind w:left="992" w:hanging="510"/>
      </w:pPr>
      <w:rPr>
        <w:rFonts w:hint="default"/>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26">
    <w:nsid w:val="76863AAD"/>
    <w:multiLevelType w:val="multilevel"/>
    <w:tmpl w:val="76863AAD"/>
    <w:lvl w:ilvl="0" w:tentative="0">
      <w:start w:val="6"/>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7">
    <w:nsid w:val="7898500E"/>
    <w:multiLevelType w:val="singleLevel"/>
    <w:tmpl w:val="7898500E"/>
    <w:lvl w:ilvl="0" w:tentative="0">
      <w:start w:val="2"/>
      <w:numFmt w:val="chineseCounting"/>
      <w:suff w:val="nothing"/>
      <w:lvlText w:val="%1、"/>
      <w:lvlJc w:val="left"/>
      <w:rPr>
        <w:rFonts w:hint="eastAsia"/>
      </w:rPr>
    </w:lvl>
  </w:abstractNum>
  <w:num w:numId="1">
    <w:abstractNumId w:val="15"/>
  </w:num>
  <w:num w:numId="2">
    <w:abstractNumId w:val="10"/>
  </w:num>
  <w:num w:numId="3">
    <w:abstractNumId w:val="12"/>
  </w:num>
  <w:num w:numId="4">
    <w:abstractNumId w:val="5"/>
  </w:num>
  <w:num w:numId="5">
    <w:abstractNumId w:val="13"/>
  </w:num>
  <w:num w:numId="6">
    <w:abstractNumId w:val="14"/>
  </w:num>
  <w:num w:numId="7">
    <w:abstractNumId w:val="4"/>
  </w:num>
  <w:num w:numId="8">
    <w:abstractNumId w:val="6"/>
  </w:num>
  <w:num w:numId="9">
    <w:abstractNumId w:val="7"/>
  </w:num>
  <w:num w:numId="10">
    <w:abstractNumId w:val="8"/>
  </w:num>
  <w:num w:numId="11">
    <w:abstractNumId w:val="18"/>
  </w:num>
  <w:num w:numId="12">
    <w:abstractNumId w:val="19"/>
  </w:num>
  <w:num w:numId="13">
    <w:abstractNumId w:val="11"/>
  </w:num>
  <w:num w:numId="14">
    <w:abstractNumId w:val="16"/>
  </w:num>
  <w:num w:numId="15">
    <w:abstractNumId w:val="9"/>
  </w:num>
  <w:num w:numId="16">
    <w:abstractNumId w:val="25"/>
  </w:num>
  <w:num w:numId="17">
    <w:abstractNumId w:val="26"/>
  </w:num>
  <w:num w:numId="18">
    <w:abstractNumId w:val="20"/>
  </w:num>
  <w:num w:numId="19">
    <w:abstractNumId w:val="21"/>
  </w:num>
  <w:num w:numId="20">
    <w:abstractNumId w:val="2"/>
  </w:num>
  <w:num w:numId="21">
    <w:abstractNumId w:val="27"/>
  </w:num>
  <w:num w:numId="22">
    <w:abstractNumId w:val="22"/>
  </w:num>
  <w:num w:numId="23">
    <w:abstractNumId w:val="0"/>
  </w:num>
  <w:num w:numId="24">
    <w:abstractNumId w:val="17"/>
  </w:num>
  <w:num w:numId="25">
    <w:abstractNumId w:val="1"/>
  </w:num>
  <w:num w:numId="26">
    <w:abstractNumId w:val="3"/>
  </w:num>
  <w:num w:numId="27">
    <w:abstractNumId w:val="2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xYWNhZmYyMmYzMmJkMjVlNjY3ODRjZDI1NzlkZWQifQ=="/>
  </w:docVars>
  <w:rsids>
    <w:rsidRoot w:val="000E7C85"/>
    <w:rsid w:val="00002168"/>
    <w:rsid w:val="00003454"/>
    <w:rsid w:val="00016E3D"/>
    <w:rsid w:val="00075DA7"/>
    <w:rsid w:val="0009091C"/>
    <w:rsid w:val="0009235B"/>
    <w:rsid w:val="0009350B"/>
    <w:rsid w:val="0009727E"/>
    <w:rsid w:val="000E47E2"/>
    <w:rsid w:val="000E7C85"/>
    <w:rsid w:val="0011325B"/>
    <w:rsid w:val="0012138B"/>
    <w:rsid w:val="001252FE"/>
    <w:rsid w:val="00142799"/>
    <w:rsid w:val="00174BEE"/>
    <w:rsid w:val="00176B54"/>
    <w:rsid w:val="001A0C07"/>
    <w:rsid w:val="001C3310"/>
    <w:rsid w:val="001C7401"/>
    <w:rsid w:val="001D42D1"/>
    <w:rsid w:val="001D7CB5"/>
    <w:rsid w:val="00216A01"/>
    <w:rsid w:val="002176A0"/>
    <w:rsid w:val="00263D87"/>
    <w:rsid w:val="00266DEC"/>
    <w:rsid w:val="002A4257"/>
    <w:rsid w:val="002B7A46"/>
    <w:rsid w:val="00331889"/>
    <w:rsid w:val="00364271"/>
    <w:rsid w:val="0038201B"/>
    <w:rsid w:val="003952C8"/>
    <w:rsid w:val="00396E84"/>
    <w:rsid w:val="003A027E"/>
    <w:rsid w:val="003A3BEA"/>
    <w:rsid w:val="003B01B2"/>
    <w:rsid w:val="003B0BC9"/>
    <w:rsid w:val="003B290D"/>
    <w:rsid w:val="003F210A"/>
    <w:rsid w:val="00404C7C"/>
    <w:rsid w:val="004441F9"/>
    <w:rsid w:val="004555E1"/>
    <w:rsid w:val="00463E8B"/>
    <w:rsid w:val="004A188E"/>
    <w:rsid w:val="004C0780"/>
    <w:rsid w:val="004E7CE7"/>
    <w:rsid w:val="00505459"/>
    <w:rsid w:val="005429FE"/>
    <w:rsid w:val="0056748D"/>
    <w:rsid w:val="005B5BF5"/>
    <w:rsid w:val="005C76B4"/>
    <w:rsid w:val="005F1DFF"/>
    <w:rsid w:val="005F42DD"/>
    <w:rsid w:val="005F7DA8"/>
    <w:rsid w:val="006019E6"/>
    <w:rsid w:val="00657BC6"/>
    <w:rsid w:val="006632AC"/>
    <w:rsid w:val="006A760E"/>
    <w:rsid w:val="006E7D22"/>
    <w:rsid w:val="00716726"/>
    <w:rsid w:val="00746FB0"/>
    <w:rsid w:val="007525C1"/>
    <w:rsid w:val="007A6DA9"/>
    <w:rsid w:val="007E104B"/>
    <w:rsid w:val="007F21C6"/>
    <w:rsid w:val="00813A0B"/>
    <w:rsid w:val="00847310"/>
    <w:rsid w:val="008A196D"/>
    <w:rsid w:val="008B4E66"/>
    <w:rsid w:val="008D17AD"/>
    <w:rsid w:val="008F26AE"/>
    <w:rsid w:val="009012F3"/>
    <w:rsid w:val="00915665"/>
    <w:rsid w:val="00925785"/>
    <w:rsid w:val="00941B66"/>
    <w:rsid w:val="00946BF3"/>
    <w:rsid w:val="00951BCE"/>
    <w:rsid w:val="00955271"/>
    <w:rsid w:val="009954FB"/>
    <w:rsid w:val="00A0512A"/>
    <w:rsid w:val="00A6641A"/>
    <w:rsid w:val="00AA13ED"/>
    <w:rsid w:val="00B344FC"/>
    <w:rsid w:val="00B44D25"/>
    <w:rsid w:val="00B77A2D"/>
    <w:rsid w:val="00B9255E"/>
    <w:rsid w:val="00BA04C2"/>
    <w:rsid w:val="00BB4736"/>
    <w:rsid w:val="00BE52A0"/>
    <w:rsid w:val="00BF3A37"/>
    <w:rsid w:val="00C371A8"/>
    <w:rsid w:val="00C417BD"/>
    <w:rsid w:val="00CC0921"/>
    <w:rsid w:val="00CC21AD"/>
    <w:rsid w:val="00CC5B4D"/>
    <w:rsid w:val="00CD0166"/>
    <w:rsid w:val="00CE0C7C"/>
    <w:rsid w:val="00CF0B22"/>
    <w:rsid w:val="00D123B8"/>
    <w:rsid w:val="00D2073E"/>
    <w:rsid w:val="00D40A7C"/>
    <w:rsid w:val="00D509F0"/>
    <w:rsid w:val="00D60C88"/>
    <w:rsid w:val="00DA45DA"/>
    <w:rsid w:val="00DC6A81"/>
    <w:rsid w:val="00DF72CA"/>
    <w:rsid w:val="00E25446"/>
    <w:rsid w:val="00E27879"/>
    <w:rsid w:val="00E2794A"/>
    <w:rsid w:val="00E541E6"/>
    <w:rsid w:val="00E54EC5"/>
    <w:rsid w:val="00E641BD"/>
    <w:rsid w:val="00E815EB"/>
    <w:rsid w:val="00EB0B9B"/>
    <w:rsid w:val="00EF0106"/>
    <w:rsid w:val="00FA1C24"/>
    <w:rsid w:val="00FD501C"/>
    <w:rsid w:val="00FE0A26"/>
    <w:rsid w:val="00FF24DA"/>
    <w:rsid w:val="00FF4F9C"/>
    <w:rsid w:val="052A61F4"/>
    <w:rsid w:val="05ED01D7"/>
    <w:rsid w:val="0636392C"/>
    <w:rsid w:val="069A3EBB"/>
    <w:rsid w:val="07057767"/>
    <w:rsid w:val="07832BA1"/>
    <w:rsid w:val="08966BEA"/>
    <w:rsid w:val="09580B03"/>
    <w:rsid w:val="0B1A7CC0"/>
    <w:rsid w:val="0B511399"/>
    <w:rsid w:val="0BF71DAF"/>
    <w:rsid w:val="0BFF2A12"/>
    <w:rsid w:val="0D162709"/>
    <w:rsid w:val="0D786F20"/>
    <w:rsid w:val="0E323688"/>
    <w:rsid w:val="0E5E6261"/>
    <w:rsid w:val="0F6740DE"/>
    <w:rsid w:val="0FE45DAF"/>
    <w:rsid w:val="0FED59A3"/>
    <w:rsid w:val="105831E4"/>
    <w:rsid w:val="13570C53"/>
    <w:rsid w:val="15DD5B72"/>
    <w:rsid w:val="17E86A50"/>
    <w:rsid w:val="17FC7532"/>
    <w:rsid w:val="1DAB6DAE"/>
    <w:rsid w:val="1E6F5D9F"/>
    <w:rsid w:val="1E94348E"/>
    <w:rsid w:val="22732EF1"/>
    <w:rsid w:val="228F6446"/>
    <w:rsid w:val="23403BE4"/>
    <w:rsid w:val="235B2ACF"/>
    <w:rsid w:val="23840ABB"/>
    <w:rsid w:val="24AA7AF3"/>
    <w:rsid w:val="251A19BC"/>
    <w:rsid w:val="25205A7B"/>
    <w:rsid w:val="26B565BF"/>
    <w:rsid w:val="27554102"/>
    <w:rsid w:val="2B0D4CF3"/>
    <w:rsid w:val="2B253DEB"/>
    <w:rsid w:val="2BA47745"/>
    <w:rsid w:val="2C4E7372"/>
    <w:rsid w:val="2C536736"/>
    <w:rsid w:val="2E206AEC"/>
    <w:rsid w:val="30970BA2"/>
    <w:rsid w:val="314678B6"/>
    <w:rsid w:val="3148766A"/>
    <w:rsid w:val="31EB11BF"/>
    <w:rsid w:val="33900270"/>
    <w:rsid w:val="367B7BDE"/>
    <w:rsid w:val="36F05812"/>
    <w:rsid w:val="372E2279"/>
    <w:rsid w:val="38A722E3"/>
    <w:rsid w:val="38B95B73"/>
    <w:rsid w:val="3911775D"/>
    <w:rsid w:val="39932868"/>
    <w:rsid w:val="3AA0523C"/>
    <w:rsid w:val="3D637822"/>
    <w:rsid w:val="406B3144"/>
    <w:rsid w:val="43A15B81"/>
    <w:rsid w:val="4502692F"/>
    <w:rsid w:val="45941E41"/>
    <w:rsid w:val="45D4223E"/>
    <w:rsid w:val="473867FC"/>
    <w:rsid w:val="481132D5"/>
    <w:rsid w:val="4B7615CC"/>
    <w:rsid w:val="4BF9040A"/>
    <w:rsid w:val="4C423F39"/>
    <w:rsid w:val="4D640FC5"/>
    <w:rsid w:val="4E01203E"/>
    <w:rsid w:val="4E5C1022"/>
    <w:rsid w:val="4EC72940"/>
    <w:rsid w:val="5076566A"/>
    <w:rsid w:val="509B4BDF"/>
    <w:rsid w:val="52837E52"/>
    <w:rsid w:val="52C553E8"/>
    <w:rsid w:val="55182ABF"/>
    <w:rsid w:val="5595398E"/>
    <w:rsid w:val="56573A2E"/>
    <w:rsid w:val="56766628"/>
    <w:rsid w:val="574C20F1"/>
    <w:rsid w:val="57B10631"/>
    <w:rsid w:val="585B273D"/>
    <w:rsid w:val="58B30078"/>
    <w:rsid w:val="60EE5A75"/>
    <w:rsid w:val="618B3170"/>
    <w:rsid w:val="62BB4112"/>
    <w:rsid w:val="63C77EDB"/>
    <w:rsid w:val="660E46E0"/>
    <w:rsid w:val="66CA0391"/>
    <w:rsid w:val="68677C8E"/>
    <w:rsid w:val="68FB5BB0"/>
    <w:rsid w:val="6908045D"/>
    <w:rsid w:val="6D390A55"/>
    <w:rsid w:val="6D456B69"/>
    <w:rsid w:val="70B2124A"/>
    <w:rsid w:val="711E3488"/>
    <w:rsid w:val="717073AA"/>
    <w:rsid w:val="71D55997"/>
    <w:rsid w:val="73FB27B2"/>
    <w:rsid w:val="79085C8C"/>
    <w:rsid w:val="79D46775"/>
    <w:rsid w:val="7A4A24F3"/>
    <w:rsid w:val="7B3B0A60"/>
    <w:rsid w:val="7C1A7CA3"/>
    <w:rsid w:val="7E156974"/>
    <w:rsid w:val="7FE11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5"/>
    <w:qFormat/>
    <w:uiPriority w:val="0"/>
    <w:pPr>
      <w:keepNext/>
      <w:tabs>
        <w:tab w:val="left" w:pos="3360"/>
      </w:tabs>
      <w:snapToGrid w:val="0"/>
      <w:spacing w:beforeLines="100" w:afterLines="50" w:line="800" w:lineRule="atLeast"/>
      <w:jc w:val="center"/>
      <w:outlineLvl w:val="0"/>
    </w:pPr>
    <w:rPr>
      <w:rFonts w:ascii="Times New Roman" w:hAnsi="Times New Roman" w:eastAsia="黑体" w:cs="Times New Roman"/>
      <w:sz w:val="44"/>
      <w:szCs w:val="20"/>
    </w:rPr>
  </w:style>
  <w:style w:type="paragraph" w:styleId="3">
    <w:name w:val="heading 2"/>
    <w:basedOn w:val="1"/>
    <w:next w:val="1"/>
    <w:link w:val="46"/>
    <w:qFormat/>
    <w:uiPriority w:val="0"/>
    <w:pPr>
      <w:keepLines/>
      <w:tabs>
        <w:tab w:val="left" w:pos="3360"/>
      </w:tabs>
      <w:adjustRightInd w:val="0"/>
      <w:spacing w:line="360" w:lineRule="auto"/>
      <w:outlineLvl w:val="1"/>
    </w:pPr>
    <w:rPr>
      <w:rFonts w:ascii="宋体" w:hAnsi="宋体" w:eastAsia="宋体" w:cs="Times New Roman"/>
      <w:sz w:val="28"/>
      <w:szCs w:val="20"/>
    </w:rPr>
  </w:style>
  <w:style w:type="paragraph" w:styleId="4">
    <w:name w:val="heading 3"/>
    <w:basedOn w:val="1"/>
    <w:next w:val="1"/>
    <w:link w:val="47"/>
    <w:qFormat/>
    <w:uiPriority w:val="0"/>
    <w:pPr>
      <w:keepNext/>
      <w:keepLines/>
      <w:spacing w:before="260" w:after="260" w:line="415" w:lineRule="auto"/>
      <w:jc w:val="center"/>
      <w:outlineLvl w:val="2"/>
    </w:pPr>
    <w:rPr>
      <w:rFonts w:ascii="Times New Roman" w:hAnsi="Times New Roman" w:eastAsia="宋体" w:cs="Times New Roman"/>
      <w:b/>
      <w:sz w:val="44"/>
      <w:szCs w:val="20"/>
    </w:rPr>
  </w:style>
  <w:style w:type="paragraph" w:styleId="5">
    <w:name w:val="heading 4"/>
    <w:basedOn w:val="1"/>
    <w:next w:val="1"/>
    <w:link w:val="48"/>
    <w:qFormat/>
    <w:uiPriority w:val="0"/>
    <w:pPr>
      <w:keepNext/>
      <w:keepLines/>
      <w:numPr>
        <w:ilvl w:val="0"/>
        <w:numId w:val="1"/>
      </w:numPr>
      <w:spacing w:before="560" w:after="290" w:line="377" w:lineRule="auto"/>
      <w:outlineLvl w:val="3"/>
    </w:pPr>
    <w:rPr>
      <w:rFonts w:ascii="Arial" w:hAnsi="Arial" w:eastAsia="黑体" w:cs="Times New Roman"/>
      <w:b/>
      <w:sz w:val="28"/>
      <w:szCs w:val="20"/>
    </w:rPr>
  </w:style>
  <w:style w:type="paragraph" w:styleId="6">
    <w:name w:val="heading 5"/>
    <w:basedOn w:val="1"/>
    <w:next w:val="1"/>
    <w:link w:val="49"/>
    <w:qFormat/>
    <w:uiPriority w:val="0"/>
    <w:pPr>
      <w:keepNext/>
      <w:keepLines/>
      <w:tabs>
        <w:tab w:val="left" w:pos="2551"/>
      </w:tabs>
      <w:spacing w:before="280" w:after="290" w:line="374" w:lineRule="auto"/>
      <w:ind w:left="2551" w:hanging="850"/>
      <w:outlineLvl w:val="4"/>
    </w:pPr>
    <w:rPr>
      <w:rFonts w:ascii="Times New Roman" w:hAnsi="Times New Roman" w:eastAsia="宋体" w:cs="Times New Roman"/>
      <w:b/>
      <w:sz w:val="28"/>
      <w:szCs w:val="20"/>
    </w:rPr>
  </w:style>
  <w:style w:type="paragraph" w:styleId="7">
    <w:name w:val="heading 6"/>
    <w:basedOn w:val="1"/>
    <w:next w:val="1"/>
    <w:link w:val="50"/>
    <w:qFormat/>
    <w:uiPriority w:val="0"/>
    <w:pPr>
      <w:keepNext/>
      <w:keepLines/>
      <w:tabs>
        <w:tab w:val="left" w:pos="1152"/>
      </w:tabs>
      <w:adjustRightInd w:val="0"/>
      <w:snapToGrid w:val="0"/>
      <w:spacing w:before="240" w:after="64" w:line="319" w:lineRule="auto"/>
      <w:ind w:left="1152" w:hanging="1152"/>
      <w:outlineLvl w:val="5"/>
    </w:pPr>
    <w:rPr>
      <w:rFonts w:ascii="Arial" w:hAnsi="Arial" w:eastAsia="黑体" w:cs="Times New Roman"/>
      <w:b/>
      <w:sz w:val="24"/>
      <w:szCs w:val="20"/>
    </w:rPr>
  </w:style>
  <w:style w:type="paragraph" w:styleId="8">
    <w:name w:val="heading 7"/>
    <w:basedOn w:val="1"/>
    <w:next w:val="1"/>
    <w:link w:val="5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cs="Times New Roman"/>
      <w:b/>
      <w:sz w:val="24"/>
      <w:szCs w:val="20"/>
    </w:rPr>
  </w:style>
  <w:style w:type="paragraph" w:styleId="9">
    <w:name w:val="heading 8"/>
    <w:basedOn w:val="1"/>
    <w:next w:val="1"/>
    <w:link w:val="52"/>
    <w:qFormat/>
    <w:uiPriority w:val="0"/>
    <w:pPr>
      <w:keepNext/>
      <w:keepLines/>
      <w:tabs>
        <w:tab w:val="left" w:pos="1440"/>
      </w:tabs>
      <w:adjustRightInd w:val="0"/>
      <w:snapToGrid w:val="0"/>
      <w:spacing w:before="240" w:after="64" w:line="319" w:lineRule="auto"/>
      <w:ind w:left="1440" w:hanging="1440"/>
      <w:outlineLvl w:val="7"/>
    </w:pPr>
    <w:rPr>
      <w:rFonts w:ascii="Arial" w:hAnsi="Arial" w:eastAsia="黑体" w:cs="Times New Roman"/>
      <w:b/>
      <w:sz w:val="24"/>
      <w:szCs w:val="20"/>
    </w:rPr>
  </w:style>
  <w:style w:type="paragraph" w:styleId="10">
    <w:name w:val="heading 9"/>
    <w:basedOn w:val="1"/>
    <w:next w:val="1"/>
    <w:link w:val="53"/>
    <w:qFormat/>
    <w:uiPriority w:val="0"/>
    <w:pPr>
      <w:keepNext/>
      <w:keepLines/>
      <w:tabs>
        <w:tab w:val="left" w:pos="1584"/>
      </w:tabs>
      <w:adjustRightInd w:val="0"/>
      <w:snapToGrid w:val="0"/>
      <w:spacing w:before="240" w:after="64" w:line="319" w:lineRule="auto"/>
      <w:ind w:left="1584" w:hanging="1584"/>
      <w:outlineLvl w:val="8"/>
    </w:pPr>
    <w:rPr>
      <w:rFonts w:ascii="Arial" w:hAnsi="Arial" w:eastAsia="黑体" w:cs="Times New Roman"/>
      <w:b/>
      <w:sz w:val="24"/>
      <w:szCs w:val="20"/>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toc 7"/>
    <w:next w:val="1"/>
    <w:qFormat/>
    <w:uiPriority w:val="0"/>
    <w:pPr>
      <w:ind w:left="1260"/>
    </w:pPr>
    <w:rPr>
      <w:rFonts w:ascii="Times New Roman" w:hAnsi="Times New Roman" w:eastAsia="宋体" w:cs="Times New Roman"/>
      <w:lang w:val="en-US" w:eastAsia="zh-CN" w:bidi="ar-SA"/>
    </w:rPr>
  </w:style>
  <w:style w:type="paragraph" w:styleId="12">
    <w:name w:val="List Bullet 4"/>
    <w:basedOn w:val="1"/>
    <w:qFormat/>
    <w:uiPriority w:val="0"/>
    <w:pPr>
      <w:widowControl/>
      <w:numPr>
        <w:ilvl w:val="0"/>
        <w:numId w:val="2"/>
      </w:numPr>
      <w:tabs>
        <w:tab w:val="left" w:pos="1134"/>
        <w:tab w:val="clear" w:pos="1620"/>
      </w:tabs>
      <w:adjustRightInd w:val="0"/>
      <w:snapToGrid w:val="0"/>
      <w:spacing w:before="120" w:line="280" w:lineRule="atLeast"/>
      <w:ind w:left="1418" w:hanging="284"/>
      <w:jc w:val="left"/>
    </w:pPr>
    <w:rPr>
      <w:rFonts w:ascii="宋体" w:hAnsi="Times New Roman" w:eastAsia="宋体" w:cs="Times New Roman"/>
      <w:kern w:val="0"/>
      <w:sz w:val="22"/>
      <w:szCs w:val="20"/>
    </w:rPr>
  </w:style>
  <w:style w:type="paragraph" w:styleId="13">
    <w:name w:val="caption"/>
    <w:basedOn w:val="1"/>
    <w:next w:val="1"/>
    <w:qFormat/>
    <w:uiPriority w:val="0"/>
    <w:pPr>
      <w:widowControl/>
      <w:tabs>
        <w:tab w:val="left" w:pos="1134"/>
      </w:tabs>
      <w:adjustRightInd w:val="0"/>
      <w:snapToGrid w:val="0"/>
      <w:spacing w:line="280" w:lineRule="atLeast"/>
      <w:jc w:val="left"/>
    </w:pPr>
    <w:rPr>
      <w:rFonts w:ascii="Times New Roman" w:hAnsi="Times New Roman" w:eastAsia="PMingLiU" w:cs="Times New Roman"/>
      <w:b/>
      <w:kern w:val="0"/>
      <w:sz w:val="24"/>
      <w:szCs w:val="20"/>
      <w:lang w:eastAsia="zh-TW"/>
    </w:rPr>
  </w:style>
  <w:style w:type="paragraph" w:styleId="14">
    <w:name w:val="annotation text"/>
    <w:basedOn w:val="1"/>
    <w:link w:val="54"/>
    <w:qFormat/>
    <w:uiPriority w:val="0"/>
    <w:pPr>
      <w:widowControl/>
      <w:tabs>
        <w:tab w:val="left" w:pos="1134"/>
      </w:tabs>
      <w:adjustRightInd w:val="0"/>
      <w:snapToGrid w:val="0"/>
      <w:spacing w:line="280" w:lineRule="atLeast"/>
      <w:jc w:val="left"/>
    </w:pPr>
    <w:rPr>
      <w:rFonts w:ascii="Times New Roman" w:hAnsi="Times New Roman" w:eastAsia="PMingLiU" w:cs="Times New Roman"/>
      <w:kern w:val="0"/>
      <w:sz w:val="24"/>
      <w:szCs w:val="20"/>
      <w:lang w:eastAsia="zh-TW"/>
    </w:rPr>
  </w:style>
  <w:style w:type="paragraph" w:styleId="15">
    <w:name w:val="List Bullet 3"/>
    <w:basedOn w:val="1"/>
    <w:qFormat/>
    <w:uiPriority w:val="0"/>
    <w:pPr>
      <w:numPr>
        <w:ilvl w:val="0"/>
        <w:numId w:val="3"/>
      </w:numPr>
      <w:adjustRightInd w:val="0"/>
      <w:snapToGrid w:val="0"/>
      <w:spacing w:line="360" w:lineRule="auto"/>
    </w:pPr>
    <w:rPr>
      <w:rFonts w:ascii="Times New Roman" w:hAnsi="Times New Roman" w:eastAsia="宋体" w:cs="Times New Roman"/>
      <w:sz w:val="24"/>
      <w:szCs w:val="20"/>
    </w:rPr>
  </w:style>
  <w:style w:type="paragraph" w:styleId="16">
    <w:name w:val="Body Text"/>
    <w:basedOn w:val="1"/>
    <w:link w:val="55"/>
    <w:qFormat/>
    <w:uiPriority w:val="0"/>
    <w:rPr>
      <w:rFonts w:ascii="仿宋_GB2312" w:hAnsi="Times New Roman" w:eastAsia="仿宋_GB2312" w:cs="Times New Roman"/>
      <w:sz w:val="32"/>
      <w:szCs w:val="20"/>
    </w:rPr>
  </w:style>
  <w:style w:type="paragraph" w:styleId="17">
    <w:name w:val="List Bullet 2"/>
    <w:basedOn w:val="1"/>
    <w:qFormat/>
    <w:uiPriority w:val="0"/>
    <w:pPr>
      <w:numPr>
        <w:ilvl w:val="0"/>
        <w:numId w:val="4"/>
      </w:numPr>
      <w:adjustRightInd w:val="0"/>
      <w:snapToGrid w:val="0"/>
      <w:spacing w:line="360" w:lineRule="auto"/>
    </w:pPr>
    <w:rPr>
      <w:rFonts w:ascii="Times New Roman" w:hAnsi="Times New Roman" w:eastAsia="宋体" w:cs="Times New Roman"/>
      <w:sz w:val="24"/>
      <w:szCs w:val="20"/>
    </w:rPr>
  </w:style>
  <w:style w:type="paragraph" w:styleId="18">
    <w:name w:val="toc 5"/>
    <w:next w:val="1"/>
    <w:qFormat/>
    <w:uiPriority w:val="0"/>
    <w:pPr>
      <w:ind w:left="840"/>
    </w:pPr>
    <w:rPr>
      <w:rFonts w:ascii="Times New Roman" w:hAnsi="Times New Roman" w:eastAsia="宋体" w:cs="Times New Roman"/>
      <w:lang w:val="en-US" w:eastAsia="zh-CN" w:bidi="ar-SA"/>
    </w:rPr>
  </w:style>
  <w:style w:type="paragraph" w:styleId="19">
    <w:name w:val="toc 3"/>
    <w:next w:val="1"/>
    <w:qFormat/>
    <w:uiPriority w:val="0"/>
    <w:pPr>
      <w:ind w:left="420"/>
    </w:pPr>
    <w:rPr>
      <w:rFonts w:ascii="Times New Roman" w:hAnsi="Times New Roman" w:eastAsia="宋体" w:cs="Times New Roman"/>
      <w:lang w:val="en-US" w:eastAsia="zh-CN" w:bidi="ar-SA"/>
    </w:rPr>
  </w:style>
  <w:style w:type="paragraph" w:styleId="20">
    <w:name w:val="toc 8"/>
    <w:next w:val="1"/>
    <w:qFormat/>
    <w:uiPriority w:val="0"/>
    <w:pPr>
      <w:ind w:left="1470"/>
    </w:pPr>
    <w:rPr>
      <w:rFonts w:ascii="Times New Roman" w:hAnsi="Times New Roman" w:eastAsia="宋体" w:cs="Times New Roman"/>
      <w:lang w:val="en-US" w:eastAsia="zh-CN" w:bidi="ar-SA"/>
    </w:rPr>
  </w:style>
  <w:style w:type="paragraph" w:styleId="21">
    <w:name w:val="Balloon Text"/>
    <w:basedOn w:val="1"/>
    <w:link w:val="56"/>
    <w:qFormat/>
    <w:uiPriority w:val="0"/>
    <w:rPr>
      <w:rFonts w:ascii="Times New Roman" w:hAnsi="Times New Roman" w:eastAsia="宋体" w:cs="Times New Roman"/>
      <w:sz w:val="18"/>
      <w:szCs w:val="20"/>
    </w:rPr>
  </w:style>
  <w:style w:type="paragraph" w:styleId="22">
    <w:name w:val="footer"/>
    <w:basedOn w:val="1"/>
    <w:link w:val="44"/>
    <w:unhideWhenUsed/>
    <w:qFormat/>
    <w:uiPriority w:val="99"/>
    <w:pPr>
      <w:tabs>
        <w:tab w:val="center" w:pos="4153"/>
        <w:tab w:val="right" w:pos="8306"/>
      </w:tabs>
      <w:snapToGrid w:val="0"/>
      <w:jc w:val="left"/>
    </w:pPr>
    <w:rPr>
      <w:sz w:val="18"/>
      <w:szCs w:val="18"/>
    </w:rPr>
  </w:style>
  <w:style w:type="paragraph" w:styleId="23">
    <w:name w:val="header"/>
    <w:basedOn w:val="1"/>
    <w:link w:val="43"/>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next w:val="1"/>
    <w:qFormat/>
    <w:uiPriority w:val="39"/>
    <w:pPr>
      <w:spacing w:beforeLines="38"/>
    </w:pPr>
    <w:rPr>
      <w:rFonts w:ascii="Times New Roman" w:hAnsi="Times New Roman" w:eastAsia="宋体" w:cs="Times New Roman"/>
      <w:b/>
      <w:bCs/>
      <w:i/>
      <w:iCs/>
      <w:sz w:val="24"/>
      <w:lang w:val="en-US" w:eastAsia="zh-CN" w:bidi="ar-SA"/>
    </w:rPr>
  </w:style>
  <w:style w:type="paragraph" w:styleId="25">
    <w:name w:val="toc 4"/>
    <w:next w:val="1"/>
    <w:qFormat/>
    <w:uiPriority w:val="0"/>
    <w:pPr>
      <w:ind w:left="630"/>
    </w:pPr>
    <w:rPr>
      <w:rFonts w:ascii="Times New Roman" w:hAnsi="Times New Roman" w:eastAsia="宋体" w:cs="Times New Roman"/>
      <w:lang w:val="en-US" w:eastAsia="zh-CN" w:bidi="ar-SA"/>
    </w:rPr>
  </w:style>
  <w:style w:type="paragraph" w:styleId="26">
    <w:name w:val="Subtitle"/>
    <w:basedOn w:val="1"/>
    <w:next w:val="1"/>
    <w:link w:val="244"/>
    <w:qFormat/>
    <w:uiPriority w:val="11"/>
    <w:pPr>
      <w:spacing w:before="240" w:after="60" w:line="312" w:lineRule="auto"/>
      <w:jc w:val="center"/>
      <w:outlineLvl w:val="1"/>
    </w:pPr>
    <w:rPr>
      <w:b/>
      <w:bCs/>
      <w:kern w:val="28"/>
      <w:sz w:val="32"/>
      <w:szCs w:val="32"/>
    </w:rPr>
  </w:style>
  <w:style w:type="paragraph" w:styleId="27">
    <w:name w:val="footnote text"/>
    <w:basedOn w:val="1"/>
    <w:link w:val="57"/>
    <w:qFormat/>
    <w:uiPriority w:val="0"/>
    <w:pPr>
      <w:spacing w:line="360" w:lineRule="auto"/>
    </w:pPr>
    <w:rPr>
      <w:rFonts w:ascii="Times New Roman" w:hAnsi="Times New Roman" w:eastAsia="宋体" w:cs="Times New Roman"/>
      <w:sz w:val="18"/>
      <w:szCs w:val="20"/>
    </w:rPr>
  </w:style>
  <w:style w:type="paragraph" w:styleId="28">
    <w:name w:val="toc 6"/>
    <w:next w:val="1"/>
    <w:qFormat/>
    <w:uiPriority w:val="0"/>
    <w:pPr>
      <w:ind w:left="1050"/>
    </w:pPr>
    <w:rPr>
      <w:rFonts w:ascii="Times New Roman" w:hAnsi="Times New Roman" w:eastAsia="宋体" w:cs="Times New Roman"/>
      <w:lang w:val="en-US" w:eastAsia="zh-CN" w:bidi="ar-SA"/>
    </w:rPr>
  </w:style>
  <w:style w:type="paragraph" w:styleId="29">
    <w:name w:val="toc 2"/>
    <w:next w:val="1"/>
    <w:qFormat/>
    <w:uiPriority w:val="39"/>
    <w:pPr>
      <w:spacing w:beforeLines="38"/>
      <w:ind w:left="210"/>
    </w:pPr>
    <w:rPr>
      <w:rFonts w:ascii="Times New Roman" w:hAnsi="Times New Roman" w:eastAsia="宋体" w:cs="Times New Roman"/>
      <w:b/>
      <w:bCs/>
      <w:sz w:val="22"/>
      <w:szCs w:val="22"/>
      <w:lang w:val="en-US" w:eastAsia="zh-CN" w:bidi="ar-SA"/>
    </w:rPr>
  </w:style>
  <w:style w:type="paragraph" w:styleId="30">
    <w:name w:val="toc 9"/>
    <w:next w:val="1"/>
    <w:qFormat/>
    <w:uiPriority w:val="0"/>
    <w:pPr>
      <w:ind w:left="1680"/>
    </w:pPr>
    <w:rPr>
      <w:rFonts w:ascii="Times New Roman" w:hAnsi="Times New Roman" w:eastAsia="宋体" w:cs="Times New Roman"/>
      <w:lang w:val="en-US" w:eastAsia="zh-CN" w:bidi="ar-SA"/>
    </w:rPr>
  </w:style>
  <w:style w:type="paragraph" w:styleId="31">
    <w:name w:val="Title"/>
    <w:basedOn w:val="1"/>
    <w:link w:val="58"/>
    <w:qFormat/>
    <w:uiPriority w:val="0"/>
    <w:pPr>
      <w:widowControl/>
      <w:spacing w:after="240" w:line="360" w:lineRule="auto"/>
      <w:jc w:val="center"/>
    </w:pPr>
    <w:rPr>
      <w:rFonts w:ascii="Arial" w:hAnsi="Arial" w:eastAsia="宋体" w:cs="Times New Roman"/>
      <w:b/>
      <w:smallCaps/>
      <w:kern w:val="28"/>
      <w:sz w:val="36"/>
      <w:szCs w:val="20"/>
      <w:lang w:eastAsia="en-US"/>
    </w:rPr>
  </w:style>
  <w:style w:type="paragraph" w:styleId="32">
    <w:name w:val="annotation subject"/>
    <w:basedOn w:val="14"/>
    <w:next w:val="14"/>
    <w:link w:val="245"/>
    <w:semiHidden/>
    <w:unhideWhenUsed/>
    <w:qFormat/>
    <w:uiPriority w:val="99"/>
    <w:pPr>
      <w:widowControl w:val="0"/>
      <w:tabs>
        <w:tab w:val="clear" w:pos="1134"/>
      </w:tabs>
      <w:adjustRightInd/>
      <w:snapToGrid/>
      <w:spacing w:line="240" w:lineRule="auto"/>
    </w:pPr>
    <w:rPr>
      <w:rFonts w:asciiTheme="minorHAnsi" w:hAnsiTheme="minorHAnsi" w:eastAsiaTheme="minorEastAsia" w:cstheme="minorBidi"/>
      <w:b/>
      <w:bCs/>
      <w:kern w:val="2"/>
      <w:sz w:val="21"/>
      <w:szCs w:val="22"/>
      <w:lang w:eastAsia="zh-CN"/>
    </w:rPr>
  </w:style>
  <w:style w:type="table" w:styleId="34">
    <w:name w:val="Table Grid"/>
    <w:basedOn w:val="33"/>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rPr>
  </w:style>
  <w:style w:type="character" w:styleId="37">
    <w:name w:val="page number"/>
    <w:unhideWhenUsed/>
    <w:qFormat/>
    <w:uiPriority w:val="0"/>
  </w:style>
  <w:style w:type="character" w:styleId="38">
    <w:name w:val="FollowedHyperlink"/>
    <w:qFormat/>
    <w:uiPriority w:val="0"/>
    <w:rPr>
      <w:color w:val="800080"/>
      <w:u w:val="single"/>
    </w:rPr>
  </w:style>
  <w:style w:type="character" w:styleId="39">
    <w:name w:val="Emphasis"/>
    <w:qFormat/>
    <w:uiPriority w:val="0"/>
    <w:rPr>
      <w:i/>
    </w:rPr>
  </w:style>
  <w:style w:type="character" w:styleId="40">
    <w:name w:val="Hyperlink"/>
    <w:qFormat/>
    <w:uiPriority w:val="99"/>
    <w:rPr>
      <w:color w:val="0000FF"/>
      <w:u w:val="single"/>
    </w:rPr>
  </w:style>
  <w:style w:type="character" w:styleId="41">
    <w:name w:val="annotation reference"/>
    <w:unhideWhenUsed/>
    <w:qFormat/>
    <w:uiPriority w:val="0"/>
    <w:rPr>
      <w:sz w:val="21"/>
      <w:szCs w:val="21"/>
    </w:rPr>
  </w:style>
  <w:style w:type="character" w:styleId="42">
    <w:name w:val="footnote reference"/>
    <w:qFormat/>
    <w:uiPriority w:val="0"/>
    <w:rPr>
      <w:position w:val="6"/>
      <w:sz w:val="14"/>
      <w:vertAlign w:val="superscript"/>
    </w:rPr>
  </w:style>
  <w:style w:type="character" w:customStyle="1" w:styleId="43">
    <w:name w:val="页眉 字符"/>
    <w:basedOn w:val="35"/>
    <w:link w:val="23"/>
    <w:qFormat/>
    <w:uiPriority w:val="99"/>
    <w:rPr>
      <w:sz w:val="18"/>
      <w:szCs w:val="18"/>
    </w:rPr>
  </w:style>
  <w:style w:type="character" w:customStyle="1" w:styleId="44">
    <w:name w:val="页脚 字符"/>
    <w:basedOn w:val="35"/>
    <w:link w:val="22"/>
    <w:qFormat/>
    <w:uiPriority w:val="99"/>
    <w:rPr>
      <w:sz w:val="18"/>
      <w:szCs w:val="18"/>
    </w:rPr>
  </w:style>
  <w:style w:type="character" w:customStyle="1" w:styleId="45">
    <w:name w:val="标题 1 字符"/>
    <w:basedOn w:val="35"/>
    <w:link w:val="2"/>
    <w:qFormat/>
    <w:uiPriority w:val="0"/>
    <w:rPr>
      <w:rFonts w:ascii="Times New Roman" w:hAnsi="Times New Roman" w:eastAsia="黑体" w:cs="Times New Roman"/>
      <w:sz w:val="44"/>
      <w:szCs w:val="20"/>
    </w:rPr>
  </w:style>
  <w:style w:type="character" w:customStyle="1" w:styleId="46">
    <w:name w:val="标题 2 字符"/>
    <w:basedOn w:val="35"/>
    <w:link w:val="3"/>
    <w:qFormat/>
    <w:uiPriority w:val="0"/>
    <w:rPr>
      <w:rFonts w:ascii="宋体" w:hAnsi="宋体" w:eastAsia="宋体" w:cs="Times New Roman"/>
      <w:sz w:val="28"/>
      <w:szCs w:val="20"/>
    </w:rPr>
  </w:style>
  <w:style w:type="character" w:customStyle="1" w:styleId="47">
    <w:name w:val="标题 3 字符"/>
    <w:basedOn w:val="35"/>
    <w:link w:val="4"/>
    <w:qFormat/>
    <w:uiPriority w:val="0"/>
    <w:rPr>
      <w:rFonts w:ascii="Times New Roman" w:hAnsi="Times New Roman" w:eastAsia="宋体" w:cs="Times New Roman"/>
      <w:b/>
      <w:sz w:val="44"/>
      <w:szCs w:val="20"/>
    </w:rPr>
  </w:style>
  <w:style w:type="character" w:customStyle="1" w:styleId="48">
    <w:name w:val="标题 4 字符"/>
    <w:basedOn w:val="35"/>
    <w:link w:val="5"/>
    <w:qFormat/>
    <w:uiPriority w:val="0"/>
    <w:rPr>
      <w:rFonts w:ascii="Arial" w:hAnsi="Arial" w:eastAsia="黑体" w:cs="Times New Roman"/>
      <w:b/>
      <w:sz w:val="28"/>
      <w:szCs w:val="20"/>
    </w:rPr>
  </w:style>
  <w:style w:type="character" w:customStyle="1" w:styleId="49">
    <w:name w:val="标题 5 字符"/>
    <w:basedOn w:val="35"/>
    <w:link w:val="6"/>
    <w:qFormat/>
    <w:uiPriority w:val="0"/>
    <w:rPr>
      <w:rFonts w:ascii="Times New Roman" w:hAnsi="Times New Roman" w:eastAsia="宋体" w:cs="Times New Roman"/>
      <w:b/>
      <w:sz w:val="28"/>
      <w:szCs w:val="20"/>
    </w:rPr>
  </w:style>
  <w:style w:type="character" w:customStyle="1" w:styleId="50">
    <w:name w:val="标题 6 字符"/>
    <w:basedOn w:val="35"/>
    <w:link w:val="7"/>
    <w:qFormat/>
    <w:uiPriority w:val="0"/>
    <w:rPr>
      <w:rFonts w:ascii="Arial" w:hAnsi="Arial" w:eastAsia="黑体" w:cs="Times New Roman"/>
      <w:b/>
      <w:sz w:val="24"/>
      <w:szCs w:val="20"/>
    </w:rPr>
  </w:style>
  <w:style w:type="character" w:customStyle="1" w:styleId="51">
    <w:name w:val="标题 7 字符"/>
    <w:basedOn w:val="35"/>
    <w:link w:val="8"/>
    <w:qFormat/>
    <w:uiPriority w:val="0"/>
    <w:rPr>
      <w:rFonts w:ascii="Arial" w:hAnsi="Arial" w:eastAsia="黑体" w:cs="Times New Roman"/>
      <w:b/>
      <w:sz w:val="24"/>
      <w:szCs w:val="20"/>
    </w:rPr>
  </w:style>
  <w:style w:type="character" w:customStyle="1" w:styleId="52">
    <w:name w:val="标题 8 字符"/>
    <w:basedOn w:val="35"/>
    <w:link w:val="9"/>
    <w:qFormat/>
    <w:uiPriority w:val="0"/>
    <w:rPr>
      <w:rFonts w:ascii="Arial" w:hAnsi="Arial" w:eastAsia="黑体" w:cs="Times New Roman"/>
      <w:b/>
      <w:sz w:val="24"/>
      <w:szCs w:val="20"/>
    </w:rPr>
  </w:style>
  <w:style w:type="character" w:customStyle="1" w:styleId="53">
    <w:name w:val="标题 9 字符"/>
    <w:basedOn w:val="35"/>
    <w:link w:val="10"/>
    <w:qFormat/>
    <w:uiPriority w:val="0"/>
    <w:rPr>
      <w:rFonts w:ascii="Arial" w:hAnsi="Arial" w:eastAsia="黑体" w:cs="Times New Roman"/>
      <w:b/>
      <w:sz w:val="24"/>
      <w:szCs w:val="20"/>
    </w:rPr>
  </w:style>
  <w:style w:type="character" w:customStyle="1" w:styleId="54">
    <w:name w:val="批注文字 字符"/>
    <w:basedOn w:val="35"/>
    <w:link w:val="14"/>
    <w:qFormat/>
    <w:uiPriority w:val="0"/>
    <w:rPr>
      <w:rFonts w:ascii="Times New Roman" w:hAnsi="Times New Roman" w:eastAsia="PMingLiU" w:cs="Times New Roman"/>
      <w:kern w:val="0"/>
      <w:sz w:val="24"/>
      <w:szCs w:val="20"/>
      <w:lang w:eastAsia="zh-TW"/>
    </w:rPr>
  </w:style>
  <w:style w:type="character" w:customStyle="1" w:styleId="55">
    <w:name w:val="正文文本 字符"/>
    <w:basedOn w:val="35"/>
    <w:link w:val="16"/>
    <w:qFormat/>
    <w:uiPriority w:val="0"/>
    <w:rPr>
      <w:rFonts w:ascii="仿宋_GB2312" w:hAnsi="Times New Roman" w:eastAsia="仿宋_GB2312" w:cs="Times New Roman"/>
      <w:sz w:val="32"/>
      <w:szCs w:val="20"/>
    </w:rPr>
  </w:style>
  <w:style w:type="character" w:customStyle="1" w:styleId="56">
    <w:name w:val="批注框文本 字符"/>
    <w:basedOn w:val="35"/>
    <w:link w:val="21"/>
    <w:qFormat/>
    <w:uiPriority w:val="0"/>
    <w:rPr>
      <w:rFonts w:ascii="Times New Roman" w:hAnsi="Times New Roman" w:eastAsia="宋体" w:cs="Times New Roman"/>
      <w:sz w:val="18"/>
      <w:szCs w:val="20"/>
    </w:rPr>
  </w:style>
  <w:style w:type="character" w:customStyle="1" w:styleId="57">
    <w:name w:val="脚注文本 字符"/>
    <w:basedOn w:val="35"/>
    <w:link w:val="27"/>
    <w:qFormat/>
    <w:uiPriority w:val="0"/>
    <w:rPr>
      <w:rFonts w:ascii="Times New Roman" w:hAnsi="Times New Roman" w:eastAsia="宋体" w:cs="Times New Roman"/>
      <w:sz w:val="18"/>
      <w:szCs w:val="20"/>
    </w:rPr>
  </w:style>
  <w:style w:type="character" w:customStyle="1" w:styleId="58">
    <w:name w:val="标题 字符"/>
    <w:basedOn w:val="35"/>
    <w:link w:val="31"/>
    <w:qFormat/>
    <w:uiPriority w:val="0"/>
    <w:rPr>
      <w:rFonts w:ascii="Arial" w:hAnsi="Arial" w:eastAsia="宋体" w:cs="Times New Roman"/>
      <w:b/>
      <w:smallCaps/>
      <w:kern w:val="28"/>
      <w:sz w:val="36"/>
      <w:szCs w:val="20"/>
      <w:lang w:eastAsia="en-US"/>
    </w:rPr>
  </w:style>
  <w:style w:type="character" w:customStyle="1" w:styleId="59">
    <w:name w:val="Table Text Char Char Char Char Char Char"/>
    <w:qFormat/>
    <w:uiPriority w:val="0"/>
    <w:rPr>
      <w:rFonts w:ascii="Arial" w:hAnsi="Arial"/>
      <w:kern w:val="2"/>
      <w:sz w:val="18"/>
      <w:lang w:val="en-US" w:eastAsia="zh-CN"/>
    </w:rPr>
  </w:style>
  <w:style w:type="character" w:customStyle="1" w:styleId="60">
    <w:name w:val="content-white1"/>
    <w:qFormat/>
    <w:uiPriority w:val="0"/>
    <w:rPr>
      <w:color w:val="auto"/>
      <w:sz w:val="18"/>
      <w:u w:val="none"/>
    </w:rPr>
  </w:style>
  <w:style w:type="character" w:customStyle="1" w:styleId="61">
    <w:name w:val="页码1"/>
    <w:qFormat/>
    <w:uiPriority w:val="0"/>
  </w:style>
  <w:style w:type="character" w:customStyle="1" w:styleId="62">
    <w:name w:val="纯文本 Char"/>
    <w:link w:val="63"/>
    <w:qFormat/>
    <w:uiPriority w:val="0"/>
    <w:rPr>
      <w:rFonts w:ascii="宋体" w:hAnsi="Courier New" w:eastAsia="宋体"/>
    </w:rPr>
  </w:style>
  <w:style w:type="paragraph" w:customStyle="1" w:styleId="63">
    <w:name w:val="纯文本1"/>
    <w:basedOn w:val="1"/>
    <w:link w:val="62"/>
    <w:qFormat/>
    <w:uiPriority w:val="0"/>
    <w:pPr>
      <w:adjustRightInd w:val="0"/>
      <w:snapToGrid w:val="0"/>
      <w:spacing w:line="360" w:lineRule="auto"/>
    </w:pPr>
    <w:rPr>
      <w:rFonts w:ascii="宋体" w:hAnsi="Courier New" w:eastAsia="宋体"/>
    </w:rPr>
  </w:style>
  <w:style w:type="character" w:customStyle="1" w:styleId="64">
    <w:name w:val="样式 宋体"/>
    <w:qFormat/>
    <w:uiPriority w:val="0"/>
    <w:rPr>
      <w:rFonts w:ascii="宋体" w:hAnsi="宋体" w:eastAsia="宋体"/>
      <w:sz w:val="28"/>
    </w:rPr>
  </w:style>
  <w:style w:type="character" w:customStyle="1" w:styleId="65">
    <w:name w:val="v151"/>
    <w:qFormat/>
    <w:uiPriority w:val="0"/>
    <w:rPr>
      <w:sz w:val="18"/>
    </w:rPr>
  </w:style>
  <w:style w:type="character" w:customStyle="1" w:styleId="66">
    <w:name w:val="未命名11"/>
    <w:qFormat/>
    <w:uiPriority w:val="0"/>
    <w:rPr>
      <w:color w:val="77FFFF"/>
      <w:sz w:val="24"/>
    </w:rPr>
  </w:style>
  <w:style w:type="character" w:customStyle="1" w:styleId="67">
    <w:name w:val="Char Char3"/>
    <w:qFormat/>
    <w:uiPriority w:val="0"/>
    <w:rPr>
      <w:rFonts w:eastAsia="宋体"/>
      <w:kern w:val="2"/>
      <w:sz w:val="18"/>
      <w:lang w:val="en-US" w:eastAsia="zh-CN"/>
    </w:rPr>
  </w:style>
  <w:style w:type="character" w:customStyle="1" w:styleId="68">
    <w:name w:val="Table Text Char1 Char Char"/>
    <w:qFormat/>
    <w:uiPriority w:val="0"/>
    <w:rPr>
      <w:rFonts w:ascii="Arial" w:hAnsi="Arial"/>
      <w:kern w:val="2"/>
      <w:sz w:val="18"/>
      <w:lang w:val="en-US" w:eastAsia="zh-CN"/>
    </w:rPr>
  </w:style>
  <w:style w:type="character" w:customStyle="1" w:styleId="69">
    <w:name w:val="Table Heading Char Char"/>
    <w:qFormat/>
    <w:uiPriority w:val="0"/>
    <w:rPr>
      <w:rFonts w:ascii="Arial" w:hAnsi="Arial" w:eastAsia="黑体"/>
      <w:kern w:val="2"/>
      <w:sz w:val="18"/>
      <w:lang w:val="en-US" w:eastAsia="zh-CN"/>
    </w:rPr>
  </w:style>
  <w:style w:type="character" w:customStyle="1" w:styleId="70">
    <w:name w:val="Char Char5"/>
    <w:qFormat/>
    <w:uiPriority w:val="0"/>
    <w:rPr>
      <w:rFonts w:ascii="Arial" w:hAnsi="Arial" w:eastAsia="宋体"/>
      <w:b/>
      <w:smallCaps/>
      <w:kern w:val="28"/>
      <w:sz w:val="36"/>
      <w:lang w:val="en-US" w:eastAsia="en-US"/>
    </w:rPr>
  </w:style>
  <w:style w:type="character" w:customStyle="1" w:styleId="71">
    <w:name w:val="Char Char7"/>
    <w:qFormat/>
    <w:uiPriority w:val="0"/>
    <w:rPr>
      <w:rFonts w:ascii="宋体" w:hAnsi="宋体" w:eastAsia="宋体"/>
      <w:kern w:val="2"/>
      <w:sz w:val="28"/>
    </w:rPr>
  </w:style>
  <w:style w:type="character" w:customStyle="1" w:styleId="72">
    <w:name w:val="批注引用1"/>
    <w:qFormat/>
    <w:uiPriority w:val="0"/>
    <w:rPr>
      <w:sz w:val="21"/>
    </w:rPr>
  </w:style>
  <w:style w:type="character" w:customStyle="1" w:styleId="73">
    <w:name w:val="标书正文:  0.74 厘米 Char1"/>
    <w:qFormat/>
    <w:uiPriority w:val="0"/>
    <w:rPr>
      <w:rFonts w:eastAsia="宋体"/>
      <w:kern w:val="2"/>
      <w:sz w:val="24"/>
      <w:lang w:val="en-US" w:eastAsia="zh-CN"/>
    </w:rPr>
  </w:style>
  <w:style w:type="character" w:customStyle="1" w:styleId="74">
    <w:name w:val="font1"/>
    <w:qFormat/>
    <w:uiPriority w:val="0"/>
    <w:rPr>
      <w:color w:val="000000"/>
      <w:sz w:val="18"/>
    </w:rPr>
  </w:style>
  <w:style w:type="character" w:customStyle="1" w:styleId="75">
    <w:name w:val="top-det1"/>
    <w:qFormat/>
    <w:uiPriority w:val="0"/>
    <w:rPr>
      <w:b/>
      <w:color w:val="000000"/>
    </w:rPr>
  </w:style>
  <w:style w:type="character" w:customStyle="1" w:styleId="76">
    <w:name w:val="默认段落字体1"/>
    <w:qFormat/>
    <w:uiPriority w:val="0"/>
    <w:rPr>
      <w:rFonts w:hint="default"/>
    </w:rPr>
  </w:style>
  <w:style w:type="character" w:customStyle="1" w:styleId="77">
    <w:name w:val="正文 + 三号 Char Char"/>
    <w:qFormat/>
    <w:uiPriority w:val="0"/>
    <w:rPr>
      <w:rFonts w:eastAsia="宋体"/>
      <w:kern w:val="2"/>
      <w:sz w:val="21"/>
      <w:lang w:val="en-US" w:eastAsia="zh-CN"/>
    </w:rPr>
  </w:style>
  <w:style w:type="character" w:customStyle="1" w:styleId="78">
    <w:name w:val="crowed11"/>
    <w:qFormat/>
    <w:uiPriority w:val="0"/>
    <w:rPr>
      <w:rFonts w:hint="default"/>
      <w:sz w:val="24"/>
    </w:rPr>
  </w:style>
  <w:style w:type="character" w:customStyle="1" w:styleId="79">
    <w:name w:val="Char Char6"/>
    <w:qFormat/>
    <w:uiPriority w:val="0"/>
    <w:rPr>
      <w:rFonts w:ascii="仿宋_GB2312" w:eastAsia="仿宋_GB2312"/>
      <w:kern w:val="2"/>
      <w:sz w:val="32"/>
    </w:rPr>
  </w:style>
  <w:style w:type="character" w:customStyle="1" w:styleId="80">
    <w:name w:val="Table Text Char Char Char Char Char Char Char"/>
    <w:qFormat/>
    <w:uiPriority w:val="0"/>
    <w:rPr>
      <w:rFonts w:ascii="Arial" w:hAnsi="Arial"/>
      <w:kern w:val="2"/>
      <w:sz w:val="18"/>
      <w:lang w:val="en-US" w:eastAsia="zh-CN"/>
    </w:rPr>
  </w:style>
  <w:style w:type="character" w:customStyle="1" w:styleId="81">
    <w:name w:val="para1"/>
    <w:qFormat/>
    <w:uiPriority w:val="0"/>
    <w:rPr>
      <w:rFonts w:hint="default" w:ascii="Arial" w:hAnsi="Arial" w:cs="Arial"/>
      <w:sz w:val="18"/>
      <w:szCs w:val="18"/>
    </w:rPr>
  </w:style>
  <w:style w:type="character" w:customStyle="1" w:styleId="82">
    <w:name w:val="Char Char4"/>
    <w:qFormat/>
    <w:uiPriority w:val="0"/>
    <w:rPr>
      <w:rFonts w:eastAsia="宋体"/>
      <w:b/>
      <w:kern w:val="2"/>
      <w:sz w:val="21"/>
      <w:lang w:val="en-US" w:eastAsia="zh-CN"/>
    </w:rPr>
  </w:style>
  <w:style w:type="character" w:customStyle="1" w:styleId="83">
    <w:name w:val="Char Char2"/>
    <w:qFormat/>
    <w:uiPriority w:val="0"/>
    <w:rPr>
      <w:rFonts w:eastAsia="宋体"/>
      <w:kern w:val="2"/>
      <w:sz w:val="18"/>
      <w:lang w:val="en-US" w:eastAsia="zh-CN"/>
    </w:rPr>
  </w:style>
  <w:style w:type="character" w:customStyle="1" w:styleId="84">
    <w:name w:val="Default Paragraph Font New New"/>
    <w:qFormat/>
    <w:uiPriority w:val="0"/>
    <w:rPr>
      <w:rFonts w:hint="default"/>
    </w:rPr>
  </w:style>
  <w:style w:type="character" w:customStyle="1" w:styleId="85">
    <w:name w:val="Default Paragraph Font New"/>
    <w:qFormat/>
    <w:uiPriority w:val="0"/>
    <w:rPr>
      <w:rFonts w:hint="default"/>
    </w:rPr>
  </w:style>
  <w:style w:type="character" w:customStyle="1" w:styleId="86">
    <w:name w:val="Char Char Char Char Char Char Char Char Char Char Char"/>
    <w:qFormat/>
    <w:uiPriority w:val="0"/>
    <w:rPr>
      <w:rFonts w:ascii="宋体" w:hAnsi="宋体" w:eastAsia="宋体"/>
      <w:kern w:val="2"/>
      <w:sz w:val="24"/>
      <w:lang w:val="en-US" w:eastAsia="zh-CN"/>
    </w:rPr>
  </w:style>
  <w:style w:type="character" w:customStyle="1" w:styleId="87">
    <w:name w:val="小 Char"/>
    <w:qFormat/>
    <w:uiPriority w:val="0"/>
    <w:rPr>
      <w:rFonts w:ascii="宋体" w:hAnsi="Courier New" w:eastAsia="宋体"/>
      <w:kern w:val="2"/>
      <w:sz w:val="21"/>
      <w:lang w:val="en-US" w:eastAsia="zh-CN"/>
    </w:rPr>
  </w:style>
  <w:style w:type="paragraph" w:customStyle="1" w:styleId="88">
    <w:name w:val="Char Char1 Char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89">
    <w:name w:val="正文 + 三号"/>
    <w:basedOn w:val="1"/>
    <w:qFormat/>
    <w:uiPriority w:val="0"/>
    <w:rPr>
      <w:rFonts w:ascii="Times New Roman" w:hAnsi="Times New Roman" w:eastAsia="宋体" w:cs="Times New Roman"/>
      <w:szCs w:val="20"/>
    </w:rPr>
  </w:style>
  <w:style w:type="paragraph" w:customStyle="1" w:styleId="90">
    <w:name w:val="表头样式"/>
    <w:basedOn w:val="1"/>
    <w:qFormat/>
    <w:uiPriority w:val="0"/>
    <w:pPr>
      <w:autoSpaceDE w:val="0"/>
      <w:autoSpaceDN w:val="0"/>
      <w:adjustRightInd w:val="0"/>
      <w:spacing w:line="360" w:lineRule="auto"/>
      <w:jc w:val="left"/>
    </w:pPr>
    <w:rPr>
      <w:rFonts w:ascii="Times New Roman" w:hAnsi="Times New Roman" w:eastAsia="宋体" w:cs="Times New Roman"/>
      <w:b/>
      <w:kern w:val="0"/>
      <w:szCs w:val="20"/>
    </w:rPr>
  </w:style>
  <w:style w:type="paragraph" w:customStyle="1" w:styleId="91">
    <w:name w:val="IN Step"/>
    <w:basedOn w:val="1"/>
    <w:qFormat/>
    <w:uiPriority w:val="0"/>
    <w:pPr>
      <w:keepLines/>
      <w:widowControl/>
      <w:tabs>
        <w:tab w:val="left" w:pos="1134"/>
      </w:tabs>
      <w:spacing w:before="80" w:after="80" w:line="300" w:lineRule="auto"/>
      <w:ind w:left="1134" w:hanging="907"/>
      <w:outlineLvl w:val="8"/>
    </w:pPr>
    <w:rPr>
      <w:rFonts w:ascii="Arial" w:hAnsi="Arial" w:eastAsia="宋体" w:cs="Times New Roman"/>
      <w:kern w:val="0"/>
      <w:szCs w:val="20"/>
    </w:rPr>
  </w:style>
  <w:style w:type="paragraph" w:customStyle="1" w:styleId="92">
    <w:name w:val="段落正文"/>
    <w:basedOn w:val="1"/>
    <w:qFormat/>
    <w:uiPriority w:val="0"/>
    <w:pPr>
      <w:spacing w:beforeLines="50" w:line="360" w:lineRule="auto"/>
      <w:ind w:firstLine="200" w:firstLineChars="200"/>
    </w:pPr>
    <w:rPr>
      <w:rFonts w:ascii="Times New Roman" w:hAnsi="Times New Roman" w:eastAsia="宋体" w:cs="Times New Roman"/>
      <w:spacing w:val="2"/>
      <w:sz w:val="24"/>
      <w:szCs w:val="20"/>
    </w:rPr>
  </w:style>
  <w:style w:type="paragraph" w:customStyle="1" w:styleId="93">
    <w:name w:val="二级列表"/>
    <w:basedOn w:val="92"/>
    <w:next w:val="92"/>
    <w:qFormat/>
    <w:uiPriority w:val="0"/>
    <w:pPr>
      <w:tabs>
        <w:tab w:val="left" w:pos="2120"/>
      </w:tabs>
      <w:ind w:firstLine="0" w:firstLineChars="0"/>
    </w:pPr>
    <w:rPr>
      <w:b/>
    </w:rPr>
  </w:style>
  <w:style w:type="paragraph" w:customStyle="1" w:styleId="94">
    <w:name w:val="列表项目"/>
    <w:basedOn w:val="1"/>
    <w:qFormat/>
    <w:uiPriority w:val="0"/>
    <w:pPr>
      <w:numPr>
        <w:ilvl w:val="0"/>
        <w:numId w:val="5"/>
      </w:numPr>
      <w:tabs>
        <w:tab w:val="left" w:pos="420"/>
        <w:tab w:val="clear" w:pos="980"/>
      </w:tabs>
      <w:spacing w:line="288" w:lineRule="auto"/>
      <w:ind w:left="840" w:leftChars="200" w:hanging="420" w:hangingChars="200"/>
    </w:pPr>
    <w:rPr>
      <w:rFonts w:ascii="Times New Roman" w:hAnsi="Times New Roman" w:eastAsia="宋体" w:cs="Times New Roman"/>
      <w:szCs w:val="20"/>
    </w:rPr>
  </w:style>
  <w:style w:type="paragraph" w:customStyle="1" w:styleId="95">
    <w:name w:val="索引 11"/>
    <w:basedOn w:val="1"/>
    <w:next w:val="1"/>
    <w:qFormat/>
    <w:uiPriority w:val="0"/>
    <w:pPr>
      <w:adjustRightInd w:val="0"/>
      <w:spacing w:line="240" w:lineRule="atLeast"/>
      <w:textAlignment w:val="baseline"/>
    </w:pPr>
    <w:rPr>
      <w:rFonts w:ascii="宋体" w:hAnsi="Times New Roman" w:eastAsia="宋体" w:cs="Times New Roman"/>
      <w:kern w:val="0"/>
      <w:szCs w:val="20"/>
    </w:rPr>
  </w:style>
  <w:style w:type="paragraph" w:customStyle="1" w:styleId="96">
    <w:name w:val="文档正文 Char Char Char Char"/>
    <w:basedOn w:val="1"/>
    <w:qFormat/>
    <w:uiPriority w:val="0"/>
    <w:pPr>
      <w:adjustRightInd w:val="0"/>
      <w:spacing w:line="440" w:lineRule="exact"/>
      <w:ind w:firstLine="420"/>
      <w:textAlignment w:val="baseline"/>
    </w:pPr>
    <w:rPr>
      <w:rFonts w:ascii="Arial Narrow" w:hAnsi="Arial Narrow" w:eastAsia="宋体" w:cs="Times New Roman"/>
      <w:kern w:val="0"/>
      <w:sz w:val="24"/>
      <w:szCs w:val="20"/>
    </w:rPr>
  </w:style>
  <w:style w:type="paragraph" w:customStyle="1" w:styleId="97">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98">
    <w:name w:val="图例"/>
    <w:basedOn w:val="1"/>
    <w:qFormat/>
    <w:uiPriority w:val="0"/>
    <w:pPr>
      <w:spacing w:before="120" w:after="120" w:line="360" w:lineRule="auto"/>
      <w:jc w:val="center"/>
    </w:pPr>
    <w:rPr>
      <w:rFonts w:ascii="Times New Roman" w:hAnsi="Times New Roman" w:eastAsia="仿宋_GB2312" w:cs="Times New Roman"/>
      <w:b/>
      <w:sz w:val="24"/>
      <w:szCs w:val="20"/>
    </w:rPr>
  </w:style>
  <w:style w:type="paragraph" w:customStyle="1" w:styleId="99">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00">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01">
    <w:name w:val="Char1 Char Char Char1"/>
    <w:basedOn w:val="1"/>
    <w:qFormat/>
    <w:uiPriority w:val="0"/>
    <w:rPr>
      <w:rFonts w:ascii="Tahoma" w:hAnsi="Tahoma" w:eastAsia="宋体" w:cs="Times New Roman"/>
      <w:sz w:val="24"/>
      <w:szCs w:val="20"/>
    </w:rPr>
  </w:style>
  <w:style w:type="paragraph" w:customStyle="1" w:styleId="102">
    <w:name w:val="编号正文"/>
    <w:basedOn w:val="103"/>
    <w:qFormat/>
    <w:uiPriority w:val="0"/>
    <w:pPr>
      <w:snapToGrid/>
      <w:spacing w:line="360" w:lineRule="auto"/>
      <w:ind w:left="1407" w:hanging="1047"/>
      <w:jc w:val="left"/>
    </w:pPr>
    <w:rPr>
      <w:rFonts w:eastAsia="仿宋_GB2312"/>
    </w:rPr>
  </w:style>
  <w:style w:type="paragraph" w:customStyle="1" w:styleId="103">
    <w:name w:val="文档正文"/>
    <w:basedOn w:val="1"/>
    <w:qFormat/>
    <w:uiPriority w:val="0"/>
    <w:pPr>
      <w:adjustRightInd w:val="0"/>
      <w:snapToGrid w:val="0"/>
      <w:spacing w:line="440" w:lineRule="exact"/>
      <w:ind w:firstLine="567"/>
      <w:textAlignment w:val="baseline"/>
    </w:pPr>
    <w:rPr>
      <w:rFonts w:ascii="Arial Narrow" w:hAnsi="Arial Narrow" w:eastAsia="宋体" w:cs="Times New Roman"/>
      <w:kern w:val="0"/>
      <w:sz w:val="24"/>
      <w:szCs w:val="20"/>
    </w:rPr>
  </w:style>
  <w:style w:type="paragraph" w:customStyle="1" w:styleId="104">
    <w:name w:val="Char1"/>
    <w:basedOn w:val="1"/>
    <w:qFormat/>
    <w:uiPriority w:val="0"/>
    <w:rPr>
      <w:rFonts w:ascii="Times New Roman" w:hAnsi="Times New Roman" w:eastAsia="宋体" w:cs="Times New Roman"/>
      <w:szCs w:val="20"/>
    </w:rPr>
  </w:style>
  <w:style w:type="paragraph" w:customStyle="1" w:styleId="105">
    <w:name w:val="小标题 1"/>
    <w:basedOn w:val="1"/>
    <w:qFormat/>
    <w:uiPriority w:val="0"/>
    <w:pPr>
      <w:autoSpaceDE w:val="0"/>
      <w:autoSpaceDN w:val="0"/>
      <w:adjustRightInd w:val="0"/>
      <w:spacing w:line="360" w:lineRule="atLeast"/>
    </w:pPr>
    <w:rPr>
      <w:rFonts w:ascii="文鼎粗黑" w:hAnsi="Times New Roman" w:eastAsia="文鼎粗黑" w:cs="Times New Roman"/>
      <w:kern w:val="0"/>
      <w:sz w:val="22"/>
      <w:szCs w:val="20"/>
    </w:rPr>
  </w:style>
  <w:style w:type="paragraph" w:customStyle="1" w:styleId="106">
    <w:name w:val="文档结构图1"/>
    <w:basedOn w:val="1"/>
    <w:qFormat/>
    <w:uiPriority w:val="0"/>
    <w:pPr>
      <w:shd w:val="clear" w:color="auto" w:fill="000080"/>
    </w:pPr>
    <w:rPr>
      <w:rFonts w:ascii="Times New Roman" w:hAnsi="Times New Roman" w:eastAsia="宋体" w:cs="Times New Roman"/>
      <w:sz w:val="28"/>
      <w:szCs w:val="20"/>
    </w:rPr>
  </w:style>
  <w:style w:type="paragraph" w:customStyle="1" w:styleId="107">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108">
    <w:name w:val="Char2"/>
    <w:basedOn w:val="1"/>
    <w:qFormat/>
    <w:uiPriority w:val="0"/>
    <w:pPr>
      <w:widowControl/>
      <w:spacing w:line="400" w:lineRule="exact"/>
      <w:jc w:val="center"/>
    </w:pPr>
    <w:rPr>
      <w:rFonts w:ascii="Times New Roman" w:hAnsi="Times New Roman" w:eastAsia="宋体" w:cs="Times New Roman"/>
      <w:sz w:val="24"/>
      <w:szCs w:val="20"/>
    </w:rPr>
  </w:style>
  <w:style w:type="paragraph" w:customStyle="1" w:styleId="109">
    <w:name w:val="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0">
    <w:name w:val="样式1"/>
    <w:basedOn w:val="5"/>
    <w:qFormat/>
    <w:uiPriority w:val="0"/>
    <w:pPr>
      <w:spacing w:before="500" w:after="260" w:line="560" w:lineRule="atLeast"/>
    </w:pPr>
  </w:style>
  <w:style w:type="paragraph" w:customStyle="1" w:styleId="111">
    <w:name w:val="文本框样式1"/>
    <w:basedOn w:val="1"/>
    <w:qFormat/>
    <w:uiPriority w:val="0"/>
    <w:pPr>
      <w:adjustRightInd w:val="0"/>
      <w:snapToGrid w:val="0"/>
      <w:spacing w:before="60" w:line="180" w:lineRule="exact"/>
      <w:jc w:val="center"/>
    </w:pPr>
    <w:rPr>
      <w:rFonts w:ascii="Times New Roman" w:hAnsi="Times New Roman" w:eastAsia="宋体" w:cs="Times New Roman"/>
      <w:szCs w:val="20"/>
    </w:rPr>
  </w:style>
  <w:style w:type="paragraph" w:customStyle="1" w:styleId="112">
    <w:name w:val="Char Char Char Char Char Char Char1"/>
    <w:basedOn w:val="106"/>
    <w:qFormat/>
    <w:uiPriority w:val="0"/>
    <w:rPr>
      <w:rFonts w:ascii="宋体" w:hAnsi="Tahoma"/>
    </w:rPr>
  </w:style>
  <w:style w:type="paragraph" w:customStyle="1" w:styleId="113">
    <w:name w:val="引文目录标题1"/>
    <w:basedOn w:val="1"/>
    <w:next w:val="1"/>
    <w:qFormat/>
    <w:uiPriority w:val="0"/>
    <w:pPr>
      <w:spacing w:before="120"/>
    </w:pPr>
    <w:rPr>
      <w:rFonts w:ascii="Arial" w:hAnsi="Arial" w:eastAsia="宋体" w:cs="Times New Roman"/>
      <w:sz w:val="24"/>
      <w:szCs w:val="20"/>
    </w:rPr>
  </w:style>
  <w:style w:type="paragraph" w:customStyle="1" w:styleId="114">
    <w:name w:val="bt"/>
    <w:basedOn w:val="1"/>
    <w:next w:val="16"/>
    <w:qFormat/>
    <w:uiPriority w:val="0"/>
    <w:pPr>
      <w:overflowPunct w:val="0"/>
      <w:autoSpaceDE w:val="0"/>
      <w:autoSpaceDN w:val="0"/>
      <w:adjustRightInd w:val="0"/>
      <w:snapToGrid w:val="0"/>
      <w:spacing w:before="100" w:after="100" w:line="240" w:lineRule="atLeast"/>
      <w:ind w:left="2880" w:hanging="360"/>
      <w:textAlignment w:val="baseline"/>
    </w:pPr>
    <w:rPr>
      <w:rFonts w:ascii="宋体" w:hAnsi="Times New Roman" w:eastAsia="宋体" w:cs="Times New Roman"/>
      <w:kern w:val="0"/>
      <w:sz w:val="20"/>
      <w:szCs w:val="20"/>
    </w:rPr>
  </w:style>
  <w:style w:type="paragraph" w:customStyle="1" w:styleId="115">
    <w:name w:val="1.正文"/>
    <w:basedOn w:val="1"/>
    <w:qFormat/>
    <w:uiPriority w:val="0"/>
    <w:pPr>
      <w:spacing w:line="360" w:lineRule="auto"/>
      <w:ind w:left="540" w:leftChars="225" w:firstLine="540" w:firstLineChars="225"/>
    </w:pPr>
    <w:rPr>
      <w:rFonts w:ascii="Times New Roman" w:hAnsi="Times New Roman" w:eastAsia="宋体" w:cs="Times New Roman"/>
      <w:sz w:val="24"/>
      <w:szCs w:val="20"/>
    </w:rPr>
  </w:style>
  <w:style w:type="paragraph" w:customStyle="1" w:styleId="116">
    <w:name w:val="Char1 Char Char Char"/>
    <w:basedOn w:val="1"/>
    <w:qFormat/>
    <w:uiPriority w:val="0"/>
    <w:rPr>
      <w:rFonts w:ascii="Tahoma" w:hAnsi="Tahoma" w:eastAsia="宋体" w:cs="Times New Roman"/>
      <w:szCs w:val="20"/>
    </w:rPr>
  </w:style>
  <w:style w:type="paragraph" w:customStyle="1" w:styleId="117">
    <w:name w:val="Char Char Char"/>
    <w:basedOn w:val="1"/>
    <w:qFormat/>
    <w:uiPriority w:val="0"/>
    <w:rPr>
      <w:rFonts w:ascii="Tahoma" w:hAnsi="Tahoma" w:eastAsia="宋体" w:cs="Times New Roman"/>
      <w:sz w:val="24"/>
      <w:szCs w:val="20"/>
    </w:rPr>
  </w:style>
  <w:style w:type="paragraph" w:customStyle="1" w:styleId="118">
    <w:name w:val="È±Ê¡ÎÄ±¾"/>
    <w:basedOn w:val="1"/>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0"/>
    </w:rPr>
  </w:style>
  <w:style w:type="paragraph" w:customStyle="1" w:styleId="119">
    <w:name w:val="列表 51"/>
    <w:basedOn w:val="1"/>
    <w:qFormat/>
    <w:uiPriority w:val="0"/>
    <w:pPr>
      <w:adjustRightInd w:val="0"/>
      <w:snapToGrid w:val="0"/>
      <w:spacing w:line="360" w:lineRule="auto"/>
      <w:ind w:left="100" w:leftChars="800" w:hanging="200" w:hangingChars="200"/>
    </w:pPr>
    <w:rPr>
      <w:rFonts w:ascii="Times New Roman" w:hAnsi="Times New Roman" w:eastAsia="宋体" w:cs="Times New Roman"/>
      <w:sz w:val="24"/>
      <w:szCs w:val="20"/>
    </w:rPr>
  </w:style>
  <w:style w:type="paragraph" w:customStyle="1" w:styleId="120">
    <w:name w:val="标书正文:  0.74 厘米"/>
    <w:basedOn w:val="1"/>
    <w:qFormat/>
    <w:uiPriority w:val="0"/>
    <w:pPr>
      <w:snapToGrid w:val="0"/>
      <w:spacing w:line="360" w:lineRule="auto"/>
      <w:ind w:firstLine="420"/>
    </w:pPr>
    <w:rPr>
      <w:rFonts w:ascii="Times New Roman" w:hAnsi="Times New Roman" w:eastAsia="宋体" w:cs="Times New Roman"/>
      <w:sz w:val="24"/>
      <w:szCs w:val="20"/>
    </w:rPr>
  </w:style>
  <w:style w:type="paragraph" w:customStyle="1" w:styleId="121">
    <w:name w:val="正文表格"/>
    <w:basedOn w:val="1"/>
    <w:qFormat/>
    <w:uiPriority w:val="0"/>
    <w:pPr>
      <w:adjustRightInd w:val="0"/>
      <w:spacing w:before="40" w:after="40"/>
    </w:pPr>
    <w:rPr>
      <w:rFonts w:ascii="Times New Roman" w:hAnsi="Times New Roman" w:eastAsia="宋体" w:cs="Times New Roman"/>
      <w:sz w:val="24"/>
      <w:szCs w:val="20"/>
    </w:rPr>
  </w:style>
  <w:style w:type="paragraph" w:customStyle="1" w:styleId="122">
    <w:name w:val="样式2"/>
    <w:basedOn w:val="5"/>
    <w:qFormat/>
    <w:uiPriority w:val="0"/>
    <w:pPr>
      <w:numPr>
        <w:ilvl w:val="0"/>
        <w:numId w:val="7"/>
      </w:numPr>
      <w:spacing w:line="400" w:lineRule="exact"/>
      <w:jc w:val="center"/>
      <w:outlineLvl w:val="0"/>
    </w:pPr>
    <w:rPr>
      <w:b w:val="0"/>
      <w:sz w:val="44"/>
    </w:rPr>
  </w:style>
  <w:style w:type="paragraph" w:customStyle="1" w:styleId="123">
    <w:name w:val="附录4"/>
    <w:basedOn w:val="1"/>
    <w:next w:val="1"/>
    <w:qFormat/>
    <w:uiPriority w:val="0"/>
    <w:pPr>
      <w:widowControl/>
      <w:tabs>
        <w:tab w:val="left" w:pos="1134"/>
      </w:tabs>
      <w:spacing w:line="300" w:lineRule="auto"/>
      <w:ind w:left="1361" w:hanging="1361"/>
      <w:outlineLvl w:val="3"/>
    </w:pPr>
    <w:rPr>
      <w:rFonts w:ascii="Arial" w:hAnsi="Arial" w:eastAsia="黑体" w:cs="Times New Roman"/>
      <w:kern w:val="0"/>
      <w:sz w:val="28"/>
      <w:szCs w:val="20"/>
    </w:rPr>
  </w:style>
  <w:style w:type="paragraph" w:customStyle="1" w:styleId="124">
    <w:name w:val="style1"/>
    <w:basedOn w:val="1"/>
    <w:qFormat/>
    <w:uiPriority w:val="0"/>
    <w:pPr>
      <w:widowControl/>
      <w:spacing w:before="100" w:beforeAutospacing="1" w:after="100" w:afterAutospacing="1"/>
      <w:jc w:val="left"/>
    </w:pPr>
    <w:rPr>
      <w:rFonts w:ascii="宋体" w:hAnsi="宋体" w:eastAsia="宋体" w:cs="Times New Roman"/>
      <w:kern w:val="0"/>
      <w:szCs w:val="20"/>
    </w:rPr>
  </w:style>
  <w:style w:type="paragraph" w:customStyle="1" w:styleId="125">
    <w:name w:val="正文文本缩进 31"/>
    <w:basedOn w:val="1"/>
    <w:qFormat/>
    <w:uiPriority w:val="0"/>
    <w:pPr>
      <w:spacing w:line="360" w:lineRule="auto"/>
      <w:ind w:firstLine="632"/>
    </w:pPr>
    <w:rPr>
      <w:rFonts w:ascii="黑体" w:hAnsi="Times New Roman" w:eastAsia="黑体" w:cs="Times New Roman"/>
      <w:sz w:val="28"/>
      <w:szCs w:val="20"/>
    </w:rPr>
  </w:style>
  <w:style w:type="paragraph" w:customStyle="1" w:styleId="126">
    <w:name w:val="章标题"/>
    <w:next w:val="1"/>
    <w:qFormat/>
    <w:uiPriority w:val="0"/>
    <w:pPr>
      <w:numPr>
        <w:ilvl w:val="1"/>
        <w:numId w:val="8"/>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27">
    <w:name w:val="批注主题1"/>
    <w:basedOn w:val="14"/>
    <w:next w:val="14"/>
    <w:qFormat/>
    <w:uiPriority w:val="0"/>
    <w:pPr>
      <w:widowControl w:val="0"/>
      <w:tabs>
        <w:tab w:val="clear" w:pos="1134"/>
      </w:tabs>
      <w:adjustRightInd/>
      <w:snapToGrid/>
      <w:spacing w:line="240" w:lineRule="auto"/>
    </w:pPr>
    <w:rPr>
      <w:rFonts w:eastAsia="宋体"/>
      <w:b/>
      <w:kern w:val="2"/>
      <w:sz w:val="21"/>
      <w:lang w:eastAsia="zh-CN"/>
    </w:rPr>
  </w:style>
  <w:style w:type="paragraph" w:customStyle="1" w:styleId="128">
    <w:name w:val="附录1"/>
    <w:basedOn w:val="1"/>
    <w:next w:val="1"/>
    <w:qFormat/>
    <w:uiPriority w:val="0"/>
    <w:pPr>
      <w:tabs>
        <w:tab w:val="left" w:pos="1304"/>
      </w:tabs>
      <w:ind w:left="425" w:hanging="425"/>
      <w:outlineLvl w:val="0"/>
    </w:pPr>
    <w:rPr>
      <w:rFonts w:ascii="黑体" w:hAnsi="黑体" w:eastAsia="黑体" w:cs="Times New Roman"/>
      <w:b/>
      <w:sz w:val="44"/>
      <w:szCs w:val="20"/>
    </w:rPr>
  </w:style>
  <w:style w:type="paragraph" w:customStyle="1" w:styleId="129">
    <w:name w:val="1"/>
    <w:basedOn w:val="1"/>
    <w:qFormat/>
    <w:uiPriority w:val="0"/>
    <w:rPr>
      <w:rFonts w:ascii="Tahoma" w:hAnsi="Tahoma" w:eastAsia="宋体" w:cs="Times New Roman"/>
      <w:sz w:val="24"/>
      <w:szCs w:val="20"/>
    </w:rPr>
  </w:style>
  <w:style w:type="paragraph" w:customStyle="1" w:styleId="130">
    <w:name w:val="Char"/>
    <w:basedOn w:val="1"/>
    <w:qFormat/>
    <w:uiPriority w:val="0"/>
    <w:pPr>
      <w:spacing w:line="240" w:lineRule="atLeast"/>
      <w:ind w:left="420" w:firstLine="420"/>
    </w:pPr>
    <w:rPr>
      <w:rFonts w:ascii="Times New Roman" w:hAnsi="Times New Roman" w:eastAsia="宋体" w:cs="Times New Roman"/>
      <w:kern w:val="0"/>
      <w:szCs w:val="20"/>
    </w:rPr>
  </w:style>
  <w:style w:type="paragraph" w:customStyle="1" w:styleId="131">
    <w:name w:val="列表接续 31"/>
    <w:basedOn w:val="1"/>
    <w:qFormat/>
    <w:uiPriority w:val="0"/>
    <w:pPr>
      <w:adjustRightInd w:val="0"/>
      <w:snapToGrid w:val="0"/>
      <w:spacing w:after="120" w:line="360" w:lineRule="auto"/>
      <w:ind w:left="1260" w:leftChars="600"/>
    </w:pPr>
    <w:rPr>
      <w:rFonts w:ascii="Times New Roman" w:hAnsi="Times New Roman" w:eastAsia="宋体" w:cs="Times New Roman"/>
      <w:sz w:val="24"/>
      <w:szCs w:val="20"/>
    </w:rPr>
  </w:style>
  <w:style w:type="paragraph" w:customStyle="1" w:styleId="132">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rFonts w:ascii="Times New Roman" w:hAnsi="Times New Roman" w:eastAsia="宋体" w:cs="Times New Roman"/>
      <w:b/>
      <w:i/>
      <w:sz w:val="24"/>
      <w:szCs w:val="20"/>
    </w:rPr>
  </w:style>
  <w:style w:type="paragraph" w:customStyle="1" w:styleId="133">
    <w:name w:val="标题无"/>
    <w:basedOn w:val="1"/>
    <w:qFormat/>
    <w:uiPriority w:val="0"/>
    <w:pPr>
      <w:spacing w:line="360" w:lineRule="auto"/>
    </w:pPr>
    <w:rPr>
      <w:rFonts w:ascii="Times New Roman" w:hAnsi="Times New Roman" w:eastAsia="宋体" w:cs="Times New Roman"/>
      <w:sz w:val="24"/>
      <w:szCs w:val="20"/>
    </w:rPr>
  </w:style>
  <w:style w:type="paragraph" w:customStyle="1" w:styleId="134">
    <w:name w:val="文本1"/>
    <w:basedOn w:val="1"/>
    <w:qFormat/>
    <w:uiPriority w:val="0"/>
    <w:pPr>
      <w:adjustRightInd w:val="0"/>
      <w:spacing w:line="312" w:lineRule="atLeast"/>
      <w:jc w:val="center"/>
      <w:textAlignment w:val="baseline"/>
    </w:pPr>
    <w:rPr>
      <w:rFonts w:ascii="Times New Roman" w:hAnsi="Times New Roman" w:eastAsia="宋体" w:cs="Times New Roman"/>
      <w:kern w:val="0"/>
      <w:sz w:val="18"/>
      <w:szCs w:val="20"/>
    </w:rPr>
  </w:style>
  <w:style w:type="paragraph" w:customStyle="1" w:styleId="135">
    <w:name w:val="_"/>
    <w:basedOn w:val="1"/>
    <w:qFormat/>
    <w:uiPriority w:val="0"/>
    <w:pPr>
      <w:adjustRightInd w:val="0"/>
      <w:spacing w:line="360" w:lineRule="auto"/>
      <w:ind w:left="480" w:firstLine="200" w:firstLineChars="200"/>
      <w:textAlignment w:val="baseline"/>
    </w:pPr>
    <w:rPr>
      <w:rFonts w:ascii="Times New Roman" w:hAnsi="Times New Roman" w:eastAsia="宋体" w:cs="Times New Roman"/>
      <w:kern w:val="0"/>
      <w:sz w:val="24"/>
      <w:szCs w:val="20"/>
    </w:rPr>
  </w:style>
  <w:style w:type="paragraph" w:customStyle="1" w:styleId="13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7">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38">
    <w:name w:val="列出段落1"/>
    <w:basedOn w:val="1"/>
    <w:qFormat/>
    <w:uiPriority w:val="34"/>
    <w:pPr>
      <w:ind w:firstLine="420" w:firstLineChars="200"/>
    </w:pPr>
    <w:rPr>
      <w:rFonts w:ascii="Times New Roman" w:hAnsi="Times New Roman" w:eastAsia="宋体" w:cs="Times New Roman"/>
      <w:sz w:val="28"/>
      <w:szCs w:val="20"/>
    </w:rPr>
  </w:style>
  <w:style w:type="paragraph" w:customStyle="1" w:styleId="139">
    <w:name w:val="正文字缩2字"/>
    <w:basedOn w:val="1"/>
    <w:qFormat/>
    <w:uiPriority w:val="0"/>
    <w:pPr>
      <w:spacing w:before="60" w:after="60" w:line="360" w:lineRule="auto"/>
      <w:ind w:left="200" w:leftChars="200" w:firstLine="200" w:firstLineChars="200"/>
    </w:pPr>
    <w:rPr>
      <w:rFonts w:ascii="Times New Roman" w:hAnsi="Times New Roman" w:eastAsia="宋体" w:cs="Times New Roman"/>
      <w:sz w:val="24"/>
      <w:szCs w:val="20"/>
    </w:rPr>
  </w:style>
  <w:style w:type="paragraph" w:customStyle="1" w:styleId="140">
    <w:name w:val="正文文本缩进1"/>
    <w:basedOn w:val="1"/>
    <w:qFormat/>
    <w:uiPriority w:val="0"/>
    <w:pPr>
      <w:spacing w:line="700" w:lineRule="exact"/>
      <w:ind w:left="960"/>
    </w:pPr>
    <w:rPr>
      <w:rFonts w:ascii="Times New Roman" w:hAnsi="Times New Roman" w:eastAsia="宋体" w:cs="Times New Roman"/>
      <w:sz w:val="44"/>
      <w:szCs w:val="20"/>
    </w:rPr>
  </w:style>
  <w:style w:type="paragraph" w:customStyle="1" w:styleId="141">
    <w:name w:val="表号"/>
    <w:basedOn w:val="1"/>
    <w:qFormat/>
    <w:uiPriority w:val="0"/>
    <w:pPr>
      <w:numPr>
        <w:ilvl w:val="0"/>
        <w:numId w:val="9"/>
      </w:numPr>
      <w:tabs>
        <w:tab w:val="left" w:pos="648"/>
        <w:tab w:val="clear" w:pos="360"/>
      </w:tabs>
      <w:autoSpaceDE w:val="0"/>
      <w:autoSpaceDN w:val="0"/>
      <w:adjustRightInd w:val="0"/>
      <w:spacing w:before="210" w:after="210"/>
      <w:ind w:left="425" w:hanging="137"/>
      <w:jc w:val="center"/>
    </w:pPr>
    <w:rPr>
      <w:rFonts w:ascii="Times New Roman" w:hAnsi="Times New Roman" w:eastAsia="宋体" w:cs="Times New Roman"/>
      <w:kern w:val="0"/>
      <w:szCs w:val="20"/>
      <w:lang w:eastAsia="en-US"/>
    </w:rPr>
  </w:style>
  <w:style w:type="paragraph" w:customStyle="1" w:styleId="142">
    <w:name w:val="表头文本"/>
    <w:qFormat/>
    <w:uiPriority w:val="0"/>
    <w:pPr>
      <w:jc w:val="center"/>
    </w:pPr>
    <w:rPr>
      <w:rFonts w:ascii="Arial" w:hAnsi="Arial" w:eastAsia="宋体" w:cs="Times New Roman"/>
      <w:b/>
      <w:sz w:val="21"/>
      <w:lang w:val="en-US" w:eastAsia="zh-CN" w:bidi="ar-SA"/>
    </w:rPr>
  </w:style>
  <w:style w:type="paragraph" w:customStyle="1" w:styleId="143">
    <w:name w:val="日期1"/>
    <w:basedOn w:val="1"/>
    <w:next w:val="1"/>
    <w:qFormat/>
    <w:uiPriority w:val="0"/>
    <w:rPr>
      <w:rFonts w:ascii="Times New Roman" w:hAnsi="Times New Roman" w:eastAsia="宋体" w:cs="Times New Roman"/>
      <w:sz w:val="28"/>
      <w:szCs w:val="20"/>
    </w:rPr>
  </w:style>
  <w:style w:type="paragraph" w:customStyle="1" w:styleId="144">
    <w:name w:val="正文文本 31"/>
    <w:basedOn w:val="1"/>
    <w:qFormat/>
    <w:uiPriority w:val="0"/>
    <w:pPr>
      <w:adjustRightInd w:val="0"/>
      <w:snapToGrid w:val="0"/>
      <w:spacing w:after="120" w:line="360" w:lineRule="auto"/>
    </w:pPr>
    <w:rPr>
      <w:rFonts w:ascii="Times New Roman" w:hAnsi="Times New Roman" w:eastAsia="宋体" w:cs="Times New Roman"/>
      <w:sz w:val="16"/>
      <w:szCs w:val="20"/>
    </w:rPr>
  </w:style>
  <w:style w:type="paragraph" w:customStyle="1" w:styleId="145">
    <w:name w:val="正文首行缩进 21"/>
    <w:basedOn w:val="140"/>
    <w:qFormat/>
    <w:uiPriority w:val="0"/>
    <w:pPr>
      <w:spacing w:after="120" w:line="240" w:lineRule="auto"/>
      <w:ind w:left="420" w:leftChars="200" w:firstLine="420" w:firstLineChars="200"/>
    </w:pPr>
    <w:rPr>
      <w:sz w:val="21"/>
    </w:rPr>
  </w:style>
  <w:style w:type="paragraph" w:customStyle="1" w:styleId="146">
    <w:name w:val="Style Heading 3h3Heading 3 - oldLevel 3 HeadH3level_3PIM 3se..."/>
    <w:basedOn w:val="4"/>
    <w:qFormat/>
    <w:uiPriority w:val="0"/>
    <w:pPr>
      <w:numPr>
        <w:ilvl w:val="2"/>
        <w:numId w:val="10"/>
      </w:numPr>
      <w:tabs>
        <w:tab w:val="left" w:pos="425"/>
        <w:tab w:val="clear" w:pos="709"/>
      </w:tabs>
      <w:jc w:val="both"/>
    </w:pPr>
    <w:rPr>
      <w:sz w:val="32"/>
    </w:rPr>
  </w:style>
  <w:style w:type="paragraph" w:customStyle="1" w:styleId="147">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ascii="Times New Roman" w:hAnsi="Times New Roman" w:eastAsia="仿宋_GB2312" w:cs="Times New Roman"/>
      <w:kern w:val="0"/>
      <w:sz w:val="24"/>
      <w:szCs w:val="20"/>
    </w:rPr>
  </w:style>
  <w:style w:type="paragraph" w:customStyle="1" w:styleId="148">
    <w:name w:val="正文2"/>
    <w:qFormat/>
    <w:uiPriority w:val="0"/>
    <w:pPr>
      <w:widowControl w:val="0"/>
      <w:spacing w:line="460" w:lineRule="exact"/>
      <w:ind w:firstLine="1624" w:firstLineChars="200"/>
      <w:jc w:val="both"/>
    </w:pPr>
    <w:rPr>
      <w:rFonts w:hint="eastAsia" w:ascii="Times New Roman" w:hAnsi="Times New Roman" w:eastAsia="宋体" w:cs="Times New Roman"/>
      <w:kern w:val="2"/>
      <w:sz w:val="28"/>
      <w:lang w:val="en-US" w:eastAsia="zh-CN" w:bidi="ar-SA"/>
    </w:rPr>
  </w:style>
  <w:style w:type="paragraph" w:customStyle="1" w:styleId="149">
    <w:name w:val="标题3——2"/>
    <w:basedOn w:val="4"/>
    <w:next w:val="150"/>
    <w:qFormat/>
    <w:uiPriority w:val="0"/>
    <w:pPr>
      <w:tabs>
        <w:tab w:val="left" w:pos="1280"/>
        <w:tab w:val="right" w:leader="dot" w:pos="8777"/>
      </w:tabs>
      <w:spacing w:beforeLines="100" w:after="0" w:line="240" w:lineRule="auto"/>
      <w:ind w:left="851" w:hanging="851"/>
      <w:jc w:val="both"/>
      <w:outlineLvl w:val="9"/>
    </w:pPr>
    <w:rPr>
      <w:rFonts w:ascii="黑体" w:hAnsi="宋体" w:eastAsia="黑体"/>
      <w:sz w:val="30"/>
    </w:rPr>
  </w:style>
  <w:style w:type="paragraph" w:customStyle="1" w:styleId="150">
    <w:name w:val="正文首行缩进1"/>
    <w:basedOn w:val="1"/>
    <w:qFormat/>
    <w:uiPriority w:val="0"/>
    <w:pPr>
      <w:spacing w:line="360" w:lineRule="auto"/>
      <w:ind w:firstLine="420"/>
    </w:pPr>
    <w:rPr>
      <w:rFonts w:ascii="宋体" w:hAnsi="宋体" w:eastAsia="宋体" w:cs="Times New Roman"/>
      <w:sz w:val="24"/>
      <w:szCs w:val="20"/>
    </w:rPr>
  </w:style>
  <w:style w:type="paragraph" w:customStyle="1" w:styleId="151">
    <w:name w:val="图表目录1"/>
    <w:basedOn w:val="1"/>
    <w:next w:val="1"/>
    <w:qFormat/>
    <w:uiPriority w:val="0"/>
    <w:pPr>
      <w:tabs>
        <w:tab w:val="right" w:leader="dot" w:pos="8640"/>
      </w:tabs>
      <w:spacing w:line="360" w:lineRule="auto"/>
      <w:ind w:left="400" w:hanging="400"/>
    </w:pPr>
    <w:rPr>
      <w:rFonts w:ascii="Times New Roman" w:hAnsi="Times New Roman" w:eastAsia="宋体" w:cs="Times New Roman"/>
      <w:sz w:val="24"/>
      <w:szCs w:val="20"/>
    </w:rPr>
  </w:style>
  <w:style w:type="paragraph" w:customStyle="1" w:styleId="152">
    <w:name w:val="Normal New"/>
    <w:qFormat/>
    <w:uiPriority w:val="0"/>
    <w:pPr>
      <w:widowControl w:val="0"/>
      <w:jc w:val="both"/>
    </w:pPr>
    <w:rPr>
      <w:rFonts w:hint="eastAsia" w:ascii="Times New Roman" w:hAnsi="Times New Roman" w:eastAsia="宋体" w:cs="Times New Roman"/>
      <w:kern w:val="2"/>
      <w:sz w:val="28"/>
      <w:lang w:val="en-US" w:eastAsia="zh-CN" w:bidi="ar-SA"/>
    </w:rPr>
  </w:style>
  <w:style w:type="paragraph" w:customStyle="1" w:styleId="153">
    <w:name w:val="默认段落字体 Para Char"/>
    <w:basedOn w:val="1"/>
    <w:qFormat/>
    <w:uiPriority w:val="0"/>
    <w:rPr>
      <w:rFonts w:ascii="Times New Roman" w:hAnsi="Times New Roman" w:eastAsia="宋体" w:cs="Times New Roman"/>
      <w:sz w:val="28"/>
      <w:szCs w:val="20"/>
    </w:rPr>
  </w:style>
  <w:style w:type="paragraph" w:customStyle="1" w:styleId="154">
    <w:name w:val="列表接续 41"/>
    <w:basedOn w:val="1"/>
    <w:qFormat/>
    <w:uiPriority w:val="0"/>
    <w:pPr>
      <w:adjustRightInd w:val="0"/>
      <w:snapToGrid w:val="0"/>
      <w:spacing w:after="120" w:line="360" w:lineRule="auto"/>
      <w:ind w:left="1680" w:leftChars="800"/>
    </w:pPr>
    <w:rPr>
      <w:rFonts w:ascii="Times New Roman" w:hAnsi="Times New Roman" w:eastAsia="宋体" w:cs="Times New Roman"/>
      <w:sz w:val="24"/>
      <w:szCs w:val="20"/>
    </w:rPr>
  </w:style>
  <w:style w:type="paragraph" w:customStyle="1" w:styleId="155">
    <w:name w:val="首行缩进 1"/>
    <w:basedOn w:val="1"/>
    <w:qFormat/>
    <w:uiPriority w:val="0"/>
    <w:pPr>
      <w:spacing w:after="120" w:line="360" w:lineRule="auto"/>
      <w:ind w:firstLine="200" w:firstLineChars="200"/>
    </w:pPr>
    <w:rPr>
      <w:rFonts w:ascii="Times New Roman" w:hAnsi="Times New Roman" w:eastAsia="宋体" w:cs="Times New Roman"/>
      <w:sz w:val="24"/>
      <w:szCs w:val="20"/>
    </w:rPr>
  </w:style>
  <w:style w:type="paragraph" w:customStyle="1" w:styleId="156">
    <w:name w:val="简单回函地址"/>
    <w:basedOn w:val="1"/>
    <w:qFormat/>
    <w:uiPriority w:val="0"/>
    <w:pPr>
      <w:adjustRightInd w:val="0"/>
      <w:snapToGrid w:val="0"/>
      <w:spacing w:line="360" w:lineRule="auto"/>
    </w:pPr>
    <w:rPr>
      <w:rFonts w:ascii="Times New Roman" w:hAnsi="Times New Roman" w:eastAsia="宋体" w:cs="Times New Roman"/>
      <w:sz w:val="24"/>
      <w:szCs w:val="20"/>
    </w:rPr>
  </w:style>
  <w:style w:type="paragraph" w:customStyle="1" w:styleId="157">
    <w:name w:val="正文1"/>
    <w:basedOn w:val="1"/>
    <w:qFormat/>
    <w:uiPriority w:val="0"/>
    <w:pPr>
      <w:spacing w:line="300" w:lineRule="auto"/>
      <w:ind w:firstLine="200" w:firstLineChars="200"/>
    </w:pPr>
    <w:rPr>
      <w:rFonts w:ascii="Times New Roman" w:hAnsi="Times New Roman" w:eastAsia="宋体" w:cs="Times New Roman"/>
      <w:sz w:val="24"/>
      <w:szCs w:val="20"/>
    </w:rPr>
  </w:style>
  <w:style w:type="paragraph" w:customStyle="1" w:styleId="158">
    <w:name w:val="列表 31"/>
    <w:basedOn w:val="1"/>
    <w:qFormat/>
    <w:uiPriority w:val="0"/>
    <w:pPr>
      <w:adjustRightInd w:val="0"/>
      <w:snapToGrid w:val="0"/>
      <w:spacing w:line="360" w:lineRule="auto"/>
      <w:ind w:left="100" w:leftChars="400" w:hanging="200" w:hangingChars="200"/>
    </w:pPr>
    <w:rPr>
      <w:rFonts w:ascii="Times New Roman" w:hAnsi="Times New Roman" w:eastAsia="宋体" w:cs="Times New Roman"/>
      <w:sz w:val="24"/>
      <w:szCs w:val="20"/>
    </w:rPr>
  </w:style>
  <w:style w:type="paragraph" w:customStyle="1" w:styleId="159">
    <w:name w:val="正文文本 21"/>
    <w:basedOn w:val="1"/>
    <w:qFormat/>
    <w:uiPriority w:val="0"/>
    <w:pPr>
      <w:adjustRightInd w:val="0"/>
      <w:spacing w:before="120" w:line="360" w:lineRule="auto"/>
      <w:ind w:firstLine="480"/>
      <w:textAlignment w:val="baseline"/>
    </w:pPr>
    <w:rPr>
      <w:rFonts w:ascii="Times New Roman" w:hAnsi="Times New Roman" w:eastAsia="宋体" w:cs="Times New Roman"/>
      <w:sz w:val="24"/>
      <w:szCs w:val="20"/>
    </w:rPr>
  </w:style>
  <w:style w:type="paragraph" w:customStyle="1" w:styleId="160">
    <w:name w:val="Title - Date"/>
    <w:basedOn w:val="31"/>
    <w:next w:val="1"/>
    <w:qFormat/>
    <w:uiPriority w:val="0"/>
    <w:pPr>
      <w:spacing w:before="240" w:after="720"/>
    </w:pPr>
    <w:rPr>
      <w:sz w:val="28"/>
    </w:rPr>
  </w:style>
  <w:style w:type="paragraph" w:customStyle="1" w:styleId="161">
    <w:name w:val="Normal New New"/>
    <w:qFormat/>
    <w:uiPriority w:val="0"/>
    <w:pPr>
      <w:widowControl w:val="0"/>
      <w:jc w:val="both"/>
    </w:pPr>
    <w:rPr>
      <w:rFonts w:hint="eastAsia" w:ascii="Times New Roman" w:hAnsi="Times New Roman" w:eastAsia="宋体" w:cs="Times New Roman"/>
      <w:kern w:val="2"/>
      <w:sz w:val="28"/>
      <w:lang w:val="en-US" w:eastAsia="zh-CN" w:bidi="ar-SA"/>
    </w:rPr>
  </w:style>
  <w:style w:type="paragraph" w:customStyle="1" w:styleId="162">
    <w:name w:val="修订1"/>
    <w:qFormat/>
    <w:uiPriority w:val="0"/>
    <w:rPr>
      <w:rFonts w:ascii="Times New Roman" w:hAnsi="Times New Roman" w:eastAsia="宋体" w:cs="Times New Roman"/>
      <w:kern w:val="2"/>
      <w:sz w:val="21"/>
      <w:lang w:val="en-US" w:eastAsia="zh-CN" w:bidi="ar-SA"/>
    </w:rPr>
  </w:style>
  <w:style w:type="paragraph" w:customStyle="1" w:styleId="163">
    <w:name w:val="列表接续1"/>
    <w:basedOn w:val="1"/>
    <w:qFormat/>
    <w:uiPriority w:val="0"/>
    <w:pPr>
      <w:adjustRightInd w:val="0"/>
      <w:snapToGrid w:val="0"/>
      <w:spacing w:after="120" w:line="360" w:lineRule="auto"/>
      <w:ind w:left="420" w:leftChars="200"/>
    </w:pPr>
    <w:rPr>
      <w:rFonts w:ascii="Times New Roman" w:hAnsi="Times New Roman" w:eastAsia="宋体" w:cs="Times New Roman"/>
      <w:sz w:val="24"/>
      <w:szCs w:val="20"/>
    </w:rPr>
  </w:style>
  <w:style w:type="paragraph" w:customStyle="1" w:styleId="164">
    <w:name w:val="IN Feature"/>
    <w:next w:val="9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65">
    <w:name w:val="列表编号 31"/>
    <w:basedOn w:val="1"/>
    <w:qFormat/>
    <w:uiPriority w:val="0"/>
    <w:pPr>
      <w:tabs>
        <w:tab w:val="left" w:pos="2120"/>
      </w:tabs>
      <w:adjustRightInd w:val="0"/>
      <w:snapToGrid w:val="0"/>
      <w:spacing w:line="360" w:lineRule="auto"/>
      <w:ind w:left="2120" w:hanging="720"/>
    </w:pPr>
    <w:rPr>
      <w:rFonts w:ascii="Times New Roman" w:hAnsi="Times New Roman" w:eastAsia="宋体" w:cs="Times New Roman"/>
      <w:sz w:val="24"/>
      <w:szCs w:val="20"/>
    </w:rPr>
  </w:style>
  <w:style w:type="paragraph" w:customStyle="1" w:styleId="166">
    <w:name w:val="默认段落字体 Para Char Char Char Char Char Char Char"/>
    <w:basedOn w:val="1"/>
    <w:qFormat/>
    <w:uiPriority w:val="0"/>
    <w:rPr>
      <w:rFonts w:ascii="Tahoma" w:hAnsi="Tahoma" w:eastAsia="宋体" w:cs="Times New Roman"/>
      <w:sz w:val="24"/>
      <w:szCs w:val="20"/>
    </w:rPr>
  </w:style>
  <w:style w:type="paragraph" w:customStyle="1" w:styleId="167">
    <w:name w:val="正文缩进1"/>
    <w:basedOn w:val="1"/>
    <w:qFormat/>
    <w:uiPriority w:val="0"/>
    <w:pPr>
      <w:adjustRightInd w:val="0"/>
      <w:snapToGrid w:val="0"/>
      <w:spacing w:line="360" w:lineRule="auto"/>
      <w:ind w:firstLine="420"/>
    </w:pPr>
    <w:rPr>
      <w:rFonts w:ascii="Times New Roman" w:hAnsi="Times New Roman" w:eastAsia="宋体" w:cs="Times New Roman"/>
      <w:sz w:val="24"/>
      <w:szCs w:val="20"/>
    </w:rPr>
  </w:style>
  <w:style w:type="paragraph" w:customStyle="1" w:styleId="168">
    <w:name w:val="操作步骤"/>
    <w:basedOn w:val="1"/>
    <w:qFormat/>
    <w:uiPriority w:val="0"/>
    <w:pPr>
      <w:numPr>
        <w:ilvl w:val="0"/>
        <w:numId w:val="11"/>
      </w:numPr>
      <w:autoSpaceDE w:val="0"/>
      <w:autoSpaceDN w:val="0"/>
      <w:adjustRightInd w:val="0"/>
      <w:snapToGrid w:val="0"/>
      <w:spacing w:line="40" w:lineRule="atLeast"/>
      <w:textAlignment w:val="bottom"/>
    </w:pPr>
    <w:rPr>
      <w:rFonts w:ascii="昆仑楷体" w:hAnsi="Times New Roman" w:eastAsia="楷体_GB2312" w:cs="Times New Roman"/>
      <w:kern w:val="0"/>
      <w:szCs w:val="20"/>
    </w:rPr>
  </w:style>
  <w:style w:type="paragraph" w:customStyle="1" w:styleId="169">
    <w:name w:val="正文文本缩进 21"/>
    <w:basedOn w:val="1"/>
    <w:qFormat/>
    <w:uiPriority w:val="0"/>
    <w:pPr>
      <w:adjustRightInd w:val="0"/>
      <w:spacing w:before="120"/>
      <w:ind w:firstLine="420"/>
      <w:textAlignment w:val="baseline"/>
    </w:pPr>
    <w:rPr>
      <w:rFonts w:ascii="Times New Roman" w:hAnsi="Times New Roman" w:eastAsia="宋体" w:cs="Times New Roman"/>
      <w:sz w:val="24"/>
      <w:szCs w:val="20"/>
    </w:rPr>
  </w:style>
  <w:style w:type="paragraph" w:customStyle="1" w:styleId="170">
    <w:name w:val="Table Contents"/>
    <w:basedOn w:val="16"/>
    <w:qFormat/>
    <w:uiPriority w:val="0"/>
    <w:pPr>
      <w:suppressAutoHyphens/>
      <w:jc w:val="left"/>
    </w:pPr>
    <w:rPr>
      <w:rFonts w:ascii="Times New Roman" w:eastAsia="Times New Roman"/>
      <w:kern w:val="0"/>
      <w:sz w:val="24"/>
    </w:rPr>
  </w:style>
  <w:style w:type="paragraph" w:customStyle="1" w:styleId="171">
    <w:name w:val="内容标题"/>
    <w:basedOn w:val="106"/>
    <w:qFormat/>
    <w:uiPriority w:val="0"/>
    <w:rPr>
      <w:rFonts w:ascii="Tahoma" w:hAnsi="Tahoma"/>
      <w:sz w:val="24"/>
    </w:rPr>
  </w:style>
  <w:style w:type="paragraph" w:customStyle="1" w:styleId="172">
    <w:name w:val="Char Char Char Char Char"/>
    <w:basedOn w:val="1"/>
    <w:qFormat/>
    <w:uiPriority w:val="0"/>
    <w:pPr>
      <w:numPr>
        <w:ilvl w:val="0"/>
        <w:numId w:val="10"/>
      </w:numPr>
    </w:pPr>
    <w:rPr>
      <w:rFonts w:ascii="Tahoma" w:hAnsi="Tahoma" w:eastAsia="宋体" w:cs="Times New Roman"/>
      <w:sz w:val="24"/>
      <w:szCs w:val="20"/>
    </w:rPr>
  </w:style>
  <w:style w:type="paragraph" w:customStyle="1" w:styleId="173">
    <w:name w:val="缺省文本"/>
    <w:basedOn w:val="1"/>
    <w:qFormat/>
    <w:uiPriority w:val="0"/>
    <w:pPr>
      <w:tabs>
        <w:tab w:val="left" w:pos="1260"/>
      </w:tabs>
      <w:autoSpaceDE w:val="0"/>
      <w:autoSpaceDN w:val="0"/>
      <w:adjustRightInd w:val="0"/>
      <w:spacing w:line="360" w:lineRule="auto"/>
      <w:jc w:val="left"/>
    </w:pPr>
    <w:rPr>
      <w:rFonts w:ascii="Times New Roman" w:hAnsi="Times New Roman" w:eastAsia="宋体" w:cs="Times New Roman"/>
      <w:kern w:val="0"/>
      <w:sz w:val="24"/>
      <w:szCs w:val="20"/>
    </w:rPr>
  </w:style>
  <w:style w:type="paragraph" w:customStyle="1" w:styleId="174">
    <w:name w:val="列表编号 21"/>
    <w:basedOn w:val="1"/>
    <w:qFormat/>
    <w:uiPriority w:val="0"/>
    <w:pPr>
      <w:numPr>
        <w:ilvl w:val="0"/>
        <w:numId w:val="12"/>
      </w:numPr>
      <w:spacing w:line="360" w:lineRule="auto"/>
    </w:pPr>
    <w:rPr>
      <w:rFonts w:ascii="Times New Roman" w:hAnsi="Times New Roman" w:eastAsia="宋体" w:cs="Times New Roman"/>
      <w:sz w:val="24"/>
      <w:szCs w:val="20"/>
    </w:rPr>
  </w:style>
  <w:style w:type="paragraph" w:customStyle="1" w:styleId="175">
    <w:name w:val="Item Step in Table"/>
    <w:qFormat/>
    <w:uiPriority w:val="0"/>
    <w:pPr>
      <w:numPr>
        <w:ilvl w:val="0"/>
        <w:numId w:val="13"/>
      </w:numPr>
      <w:spacing w:before="40" w:after="40"/>
      <w:jc w:val="both"/>
    </w:pPr>
    <w:rPr>
      <w:rFonts w:ascii="Arial" w:hAnsi="Arial" w:eastAsia="宋体" w:cs="Times New Roman"/>
      <w:sz w:val="18"/>
      <w:lang w:val="en-US" w:eastAsia="zh-CN" w:bidi="ar-SA"/>
    </w:rPr>
  </w:style>
  <w:style w:type="paragraph" w:customStyle="1" w:styleId="176">
    <w:name w:val="标题5"/>
    <w:basedOn w:val="1"/>
    <w:qFormat/>
    <w:uiPriority w:val="0"/>
    <w:pPr>
      <w:tabs>
        <w:tab w:val="left" w:pos="0"/>
      </w:tabs>
      <w:autoSpaceDE w:val="0"/>
      <w:autoSpaceDN w:val="0"/>
      <w:adjustRightInd w:val="0"/>
      <w:snapToGrid w:val="0"/>
      <w:spacing w:line="320" w:lineRule="atLeast"/>
    </w:pPr>
    <w:rPr>
      <w:rFonts w:ascii="宋体" w:hAnsi="Times New Roman" w:eastAsia="宋体" w:cs="Times New Roman"/>
      <w:kern w:val="0"/>
      <w:szCs w:val="20"/>
    </w:rPr>
  </w:style>
  <w:style w:type="paragraph" w:customStyle="1" w:styleId="177">
    <w:name w:val="项目"/>
    <w:basedOn w:val="1"/>
    <w:qFormat/>
    <w:uiPriority w:val="0"/>
    <w:pPr>
      <w:tabs>
        <w:tab w:val="left" w:pos="1280"/>
      </w:tabs>
      <w:spacing w:before="120" w:after="120" w:line="360" w:lineRule="auto"/>
      <w:ind w:left="-7" w:firstLine="567"/>
      <w:jc w:val="left"/>
      <w:textAlignment w:val="baseline"/>
    </w:pPr>
    <w:rPr>
      <w:rFonts w:ascii="宋体" w:hAnsi="Times New Roman" w:eastAsia="宋体" w:cs="Times New Roman"/>
      <w:kern w:val="0"/>
      <w:sz w:val="24"/>
      <w:szCs w:val="20"/>
    </w:rPr>
  </w:style>
  <w:style w:type="paragraph" w:customStyle="1" w:styleId="178">
    <w:name w:val="样式 标题 1章标题Heading 0Section HeadPIM 1H1h11st levell11H1..."/>
    <w:basedOn w:val="2"/>
    <w:qFormat/>
    <w:uiPriority w:val="0"/>
    <w:pPr>
      <w:keepLines/>
      <w:pageBreakBefore/>
      <w:tabs>
        <w:tab w:val="left" w:pos="432"/>
        <w:tab w:val="clear" w:pos="3360"/>
      </w:tabs>
      <w:autoSpaceDE w:val="0"/>
      <w:autoSpaceDN w:val="0"/>
      <w:adjustRightInd w:val="0"/>
      <w:spacing w:line="578" w:lineRule="atLeast"/>
      <w:jc w:val="both"/>
      <w:textAlignment w:val="bottom"/>
    </w:pPr>
    <w:rPr>
      <w:rFonts w:ascii="宋体" w:hAnsi="宋体"/>
      <w:b/>
      <w:kern w:val="44"/>
      <w:sz w:val="36"/>
    </w:rPr>
  </w:style>
  <w:style w:type="paragraph" w:customStyle="1" w:styleId="179">
    <w:name w:val="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80">
    <w:name w:val="Title - Revision"/>
    <w:basedOn w:val="31"/>
    <w:qFormat/>
    <w:uiPriority w:val="0"/>
    <w:pPr>
      <w:spacing w:before="720"/>
    </w:pPr>
  </w:style>
  <w:style w:type="paragraph" w:customStyle="1" w:styleId="181">
    <w:name w:val="table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2">
    <w:name w:val="样式 宋体 五号 行距: 单倍行距"/>
    <w:basedOn w:val="1"/>
    <w:qFormat/>
    <w:uiPriority w:val="0"/>
    <w:pPr>
      <w:adjustRightInd w:val="0"/>
      <w:jc w:val="left"/>
    </w:pPr>
    <w:rPr>
      <w:rFonts w:ascii="宋体" w:hAnsi="宋体" w:eastAsia="宋体" w:cs="Times New Roman"/>
      <w:kern w:val="0"/>
      <w:szCs w:val="20"/>
    </w:rPr>
  </w:style>
  <w:style w:type="paragraph" w:customStyle="1" w:styleId="183">
    <w:name w:val="p0"/>
    <w:basedOn w:val="1"/>
    <w:qFormat/>
    <w:uiPriority w:val="0"/>
    <w:pPr>
      <w:widowControl/>
    </w:pPr>
    <w:rPr>
      <w:rFonts w:ascii="Times New Roman" w:hAnsi="Times New Roman" w:eastAsia="宋体" w:cs="Times New Roman"/>
      <w:kern w:val="0"/>
      <w:sz w:val="28"/>
      <w:szCs w:val="28"/>
    </w:rPr>
  </w:style>
  <w:style w:type="paragraph" w:customStyle="1" w:styleId="184">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hAnsi="Times New Roman" w:eastAsia="宋体" w:cs="Times New Roman"/>
      <w:kern w:val="0"/>
      <w:sz w:val="18"/>
      <w:szCs w:val="20"/>
    </w:rPr>
  </w:style>
  <w:style w:type="paragraph" w:customStyle="1" w:styleId="185">
    <w:name w:val="样式 正文缩进正文（首行缩进两字）表正文正文非缩进特点标题4段1 + 首行缩进:  2 字符"/>
    <w:basedOn w:val="167"/>
    <w:qFormat/>
    <w:uiPriority w:val="0"/>
    <w:pPr>
      <w:ind w:firstLine="480" w:firstLineChars="200"/>
    </w:pPr>
  </w:style>
  <w:style w:type="paragraph" w:customStyle="1" w:styleId="186">
    <w:name w:val="列表 21"/>
    <w:basedOn w:val="1"/>
    <w:qFormat/>
    <w:uiPriority w:val="0"/>
    <w:pPr>
      <w:adjustRightInd w:val="0"/>
      <w:snapToGrid w:val="0"/>
      <w:spacing w:line="360" w:lineRule="auto"/>
      <w:ind w:left="100" w:leftChars="200" w:hanging="200" w:hangingChars="200"/>
    </w:pPr>
    <w:rPr>
      <w:rFonts w:ascii="Times New Roman" w:hAnsi="Times New Roman" w:eastAsia="宋体" w:cs="Times New Roman"/>
      <w:sz w:val="24"/>
      <w:szCs w:val="20"/>
    </w:rPr>
  </w:style>
  <w:style w:type="paragraph" w:customStyle="1" w:styleId="187">
    <w:name w:val="列表 41"/>
    <w:basedOn w:val="1"/>
    <w:qFormat/>
    <w:uiPriority w:val="0"/>
    <w:pPr>
      <w:adjustRightInd w:val="0"/>
      <w:snapToGrid w:val="0"/>
      <w:spacing w:line="360" w:lineRule="auto"/>
      <w:ind w:left="100" w:leftChars="600" w:hanging="200" w:hangingChars="200"/>
    </w:pPr>
    <w:rPr>
      <w:rFonts w:ascii="Times New Roman" w:hAnsi="Times New Roman" w:eastAsia="宋体" w:cs="Times New Roman"/>
      <w:sz w:val="24"/>
      <w:szCs w:val="20"/>
    </w:rPr>
  </w:style>
  <w:style w:type="paragraph" w:customStyle="1" w:styleId="188">
    <w:name w:val="表格文本"/>
    <w:qFormat/>
    <w:uiPriority w:val="0"/>
    <w:pPr>
      <w:tabs>
        <w:tab w:val="decimal" w:pos="0"/>
      </w:tabs>
    </w:pPr>
    <w:rPr>
      <w:rFonts w:ascii="Arial" w:hAnsi="Arial" w:eastAsia="宋体" w:cs="Times New Roman"/>
      <w:sz w:val="21"/>
      <w:lang w:val="en-US" w:eastAsia="zh-CN" w:bidi="ar-SA"/>
    </w:rPr>
  </w:style>
  <w:style w:type="paragraph" w:customStyle="1" w:styleId="189">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190">
    <w:name w:val="表文字"/>
    <w:qFormat/>
    <w:uiPriority w:val="0"/>
    <w:rPr>
      <w:rFonts w:ascii="宋体" w:hAnsi="Times New Roman" w:eastAsia="宋体" w:cs="Times New Roman"/>
      <w:kern w:val="2"/>
      <w:lang w:val="en-US" w:eastAsia="zh-CN" w:bidi="ar-SA"/>
    </w:rPr>
  </w:style>
  <w:style w:type="paragraph" w:customStyle="1" w:styleId="191">
    <w:name w:val="AA Numbering"/>
    <w:basedOn w:val="1"/>
    <w:qFormat/>
    <w:uiPriority w:val="0"/>
    <w:pPr>
      <w:widowControl/>
      <w:tabs>
        <w:tab w:val="left" w:pos="1134"/>
        <w:tab w:val="left" w:pos="1280"/>
      </w:tabs>
      <w:adjustRightInd w:val="0"/>
      <w:snapToGrid w:val="0"/>
      <w:spacing w:line="280" w:lineRule="atLeast"/>
      <w:jc w:val="left"/>
    </w:pPr>
    <w:rPr>
      <w:rFonts w:ascii="Times New Roman" w:hAnsi="Times New Roman" w:eastAsia="PMingLiU" w:cs="Times New Roman"/>
      <w:kern w:val="0"/>
      <w:sz w:val="24"/>
      <w:szCs w:val="20"/>
      <w:lang w:eastAsia="zh-TW"/>
    </w:rPr>
  </w:style>
  <w:style w:type="paragraph" w:customStyle="1" w:styleId="192">
    <w:name w:val="CSS1级正文 Char"/>
    <w:basedOn w:val="16"/>
    <w:qFormat/>
    <w:uiPriority w:val="0"/>
    <w:pPr>
      <w:adjustRightInd w:val="0"/>
      <w:snapToGrid w:val="0"/>
      <w:spacing w:line="360" w:lineRule="auto"/>
      <w:ind w:firstLine="480"/>
    </w:pPr>
    <w:rPr>
      <w:rFonts w:ascii="Times New Roman" w:eastAsia="宋体"/>
      <w:sz w:val="24"/>
    </w:rPr>
  </w:style>
  <w:style w:type="paragraph" w:customStyle="1" w:styleId="193">
    <w:name w:val="标准正文"/>
    <w:basedOn w:val="140"/>
    <w:qFormat/>
    <w:uiPriority w:val="0"/>
    <w:pPr>
      <w:spacing w:before="60" w:after="60" w:line="360" w:lineRule="auto"/>
      <w:ind w:left="0" w:firstLine="482"/>
    </w:pPr>
    <w:rPr>
      <w:rFonts w:ascii="Arial" w:hAnsi="Arial"/>
      <w:sz w:val="24"/>
    </w:rPr>
  </w:style>
  <w:style w:type="paragraph" w:customStyle="1" w:styleId="194">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95">
    <w:name w:val="附录2"/>
    <w:basedOn w:val="1"/>
    <w:next w:val="1"/>
    <w:qFormat/>
    <w:uiPriority w:val="0"/>
    <w:pPr>
      <w:tabs>
        <w:tab w:val="left" w:pos="420"/>
        <w:tab w:val="left" w:pos="624"/>
      </w:tabs>
      <w:ind w:left="420" w:hanging="420"/>
      <w:outlineLvl w:val="1"/>
    </w:pPr>
    <w:rPr>
      <w:rFonts w:ascii="黑体" w:hAnsi="黑体" w:eastAsia="黑体" w:cs="Times New Roman"/>
      <w:b/>
      <w:sz w:val="32"/>
      <w:szCs w:val="20"/>
    </w:rPr>
  </w:style>
  <w:style w:type="paragraph" w:customStyle="1" w:styleId="196">
    <w:name w:val="正文格式 Char"/>
    <w:basedOn w:val="1"/>
    <w:qFormat/>
    <w:uiPriority w:val="0"/>
    <w:pPr>
      <w:widowControl/>
      <w:adjustRightInd w:val="0"/>
      <w:spacing w:line="440" w:lineRule="atLeast"/>
      <w:ind w:firstLine="510"/>
      <w:textAlignment w:val="baseline"/>
    </w:pPr>
    <w:rPr>
      <w:rFonts w:ascii="Times New Roman" w:hAnsi="Times New Roman" w:eastAsia="宋体" w:cs="Times New Roman"/>
      <w:kern w:val="0"/>
      <w:sz w:val="24"/>
      <w:szCs w:val="20"/>
    </w:rPr>
  </w:style>
  <w:style w:type="paragraph" w:customStyle="1" w:styleId="197">
    <w:name w:val="样式3"/>
    <w:basedOn w:val="2"/>
    <w:next w:val="2"/>
    <w:qFormat/>
    <w:uiPriority w:val="0"/>
    <w:pPr>
      <w:keepLines/>
      <w:tabs>
        <w:tab w:val="clear" w:pos="3360"/>
      </w:tabs>
      <w:adjustRightInd w:val="0"/>
      <w:spacing w:line="576" w:lineRule="auto"/>
      <w:jc w:val="both"/>
    </w:pPr>
    <w:rPr>
      <w:b/>
      <w:kern w:val="44"/>
    </w:rPr>
  </w:style>
  <w:style w:type="paragraph" w:customStyle="1" w:styleId="198">
    <w:name w:val="Note"/>
    <w:basedOn w:val="1"/>
    <w:qFormat/>
    <w:uiPriority w:val="0"/>
    <w:pPr>
      <w:pBdr>
        <w:top w:val="single" w:color="auto" w:sz="12" w:space="3"/>
        <w:bottom w:val="single" w:color="auto" w:sz="12" w:space="3"/>
      </w:pBdr>
      <w:spacing w:line="360" w:lineRule="auto"/>
    </w:pPr>
    <w:rPr>
      <w:rFonts w:ascii="Times New Roman" w:hAnsi="Times New Roman" w:eastAsia="宋体" w:cs="Times New Roman"/>
      <w:sz w:val="24"/>
      <w:szCs w:val="20"/>
    </w:rPr>
  </w:style>
  <w:style w:type="paragraph" w:customStyle="1" w:styleId="199">
    <w:name w:val="xl23"/>
    <w:basedOn w:val="1"/>
    <w:qFormat/>
    <w:uiPriority w:val="0"/>
    <w:pPr>
      <w:widowControl/>
      <w:spacing w:before="100" w:beforeAutospacing="1" w:after="100" w:afterAutospacing="1" w:line="360" w:lineRule="auto"/>
      <w:textAlignment w:val="top"/>
    </w:pPr>
    <w:rPr>
      <w:rFonts w:ascii="Times New Roman" w:hAnsi="Times New Roman" w:eastAsia="宋体" w:cs="Times New Roman"/>
      <w:kern w:val="0"/>
      <w:sz w:val="24"/>
      <w:szCs w:val="20"/>
    </w:rPr>
  </w:style>
  <w:style w:type="paragraph" w:customStyle="1" w:styleId="200">
    <w:name w:val="样式 正文首行缩进 2 + 首行缩进:  2 字符"/>
    <w:basedOn w:val="1"/>
    <w:qFormat/>
    <w:uiPriority w:val="0"/>
    <w:pPr>
      <w:numPr>
        <w:ilvl w:val="0"/>
        <w:numId w:val="14"/>
      </w:numPr>
      <w:adjustRightInd w:val="0"/>
      <w:snapToGrid w:val="0"/>
      <w:spacing w:line="360" w:lineRule="auto"/>
    </w:pPr>
    <w:rPr>
      <w:rFonts w:ascii="Arial" w:hAnsi="Arial" w:eastAsia="宋体" w:cs="Times New Roman"/>
      <w:b/>
      <w:sz w:val="24"/>
      <w:szCs w:val="20"/>
    </w:rPr>
  </w:style>
  <w:style w:type="paragraph" w:customStyle="1" w:styleId="201">
    <w:name w:val="content"/>
    <w:basedOn w:val="1"/>
    <w:qFormat/>
    <w:uiPriority w:val="0"/>
    <w:pPr>
      <w:widowControl/>
      <w:spacing w:before="100" w:beforeAutospacing="1" w:after="100" w:afterAutospacing="1" w:line="280" w:lineRule="atLeast"/>
      <w:ind w:firstLine="375"/>
      <w:jc w:val="left"/>
    </w:pPr>
    <w:rPr>
      <w:rFonts w:ascii="宋体" w:hAnsi="宋体" w:eastAsia="宋体" w:cs="Times New Roman"/>
      <w:color w:val="000000"/>
      <w:kern w:val="0"/>
      <w:sz w:val="18"/>
      <w:szCs w:val="20"/>
    </w:rPr>
  </w:style>
  <w:style w:type="paragraph" w:customStyle="1" w:styleId="202">
    <w:name w:val="附录3"/>
    <w:basedOn w:val="1"/>
    <w:next w:val="1"/>
    <w:qFormat/>
    <w:uiPriority w:val="0"/>
    <w:pPr>
      <w:tabs>
        <w:tab w:val="left" w:pos="851"/>
      </w:tabs>
      <w:ind w:left="425" w:hanging="425"/>
      <w:outlineLvl w:val="2"/>
    </w:pPr>
    <w:rPr>
      <w:rFonts w:ascii="Times New Roman" w:hAnsi="Times New Roman" w:eastAsia="黑体" w:cs="Times New Roman"/>
      <w:b/>
      <w:sz w:val="32"/>
      <w:szCs w:val="20"/>
    </w:rPr>
  </w:style>
  <w:style w:type="paragraph" w:customStyle="1" w:styleId="203">
    <w:name w:val="Char Char Char Char Char Char Char Char Char"/>
    <w:basedOn w:val="1"/>
    <w:qFormat/>
    <w:uiPriority w:val="0"/>
    <w:rPr>
      <w:rFonts w:ascii="Times New Roman" w:hAnsi="Times New Roman" w:eastAsia="宋体" w:cs="Times New Roman"/>
      <w:szCs w:val="20"/>
    </w:rPr>
  </w:style>
  <w:style w:type="paragraph" w:customStyle="1" w:styleId="204">
    <w:name w:val="没有缩进（为图形使用）"/>
    <w:basedOn w:val="1"/>
    <w:qFormat/>
    <w:uiPriority w:val="0"/>
    <w:pPr>
      <w:spacing w:before="120" w:after="120" w:line="360" w:lineRule="auto"/>
    </w:pPr>
    <w:rPr>
      <w:rFonts w:ascii="Times New Roman" w:hAnsi="Times New Roman" w:eastAsia="宋体" w:cs="Times New Roman"/>
      <w:sz w:val="24"/>
      <w:szCs w:val="20"/>
    </w:rPr>
  </w:style>
  <w:style w:type="paragraph" w:customStyle="1" w:styleId="205">
    <w:name w:val="正文4"/>
    <w:basedOn w:val="1"/>
    <w:qFormat/>
    <w:uiPriority w:val="0"/>
    <w:pPr>
      <w:tabs>
        <w:tab w:val="left" w:pos="1275"/>
      </w:tabs>
      <w:spacing w:before="60" w:after="60" w:line="360" w:lineRule="auto"/>
      <w:ind w:left="820" w:leftChars="400" w:hanging="705"/>
    </w:pPr>
    <w:rPr>
      <w:rFonts w:ascii="Times New Roman" w:hAnsi="Times New Roman" w:eastAsia="宋体" w:cs="Times New Roman"/>
      <w:sz w:val="24"/>
      <w:szCs w:val="20"/>
    </w:rPr>
  </w:style>
  <w:style w:type="paragraph" w:customStyle="1" w:styleId="206">
    <w:name w:val="图片文字"/>
    <w:basedOn w:val="1"/>
    <w:qFormat/>
    <w:uiPriority w:val="0"/>
    <w:pPr>
      <w:spacing w:line="240" w:lineRule="atLeast"/>
      <w:jc w:val="center"/>
    </w:pPr>
    <w:rPr>
      <w:rFonts w:ascii="Times New Roman" w:hAnsi="Times New Roman" w:eastAsia="宋体" w:cs="Times New Roman"/>
      <w:szCs w:val="20"/>
    </w:rPr>
  </w:style>
  <w:style w:type="paragraph" w:customStyle="1" w:styleId="207">
    <w:name w:val="普通(网站)1"/>
    <w:basedOn w:val="1"/>
    <w:qFormat/>
    <w:uiPriority w:val="0"/>
    <w:pPr>
      <w:widowControl/>
      <w:spacing w:before="100" w:beforeAutospacing="1" w:after="100" w:afterAutospacing="1"/>
      <w:jc w:val="left"/>
    </w:pPr>
    <w:rPr>
      <w:rFonts w:ascii="Arial Unicode MS" w:hAnsi="Arial Unicode MS" w:eastAsia="Arial Unicode MS" w:cs="Times New Roman"/>
      <w:kern w:val="0"/>
      <w:sz w:val="24"/>
      <w:szCs w:val="20"/>
    </w:rPr>
  </w:style>
  <w:style w:type="paragraph" w:customStyle="1" w:styleId="208">
    <w:name w:val="可研正文"/>
    <w:basedOn w:val="16"/>
    <w:qFormat/>
    <w:uiPriority w:val="0"/>
    <w:pPr>
      <w:adjustRightInd w:val="0"/>
      <w:snapToGrid w:val="0"/>
      <w:spacing w:line="440" w:lineRule="exact"/>
      <w:ind w:firstLine="567"/>
    </w:pPr>
    <w:rPr>
      <w:sz w:val="28"/>
    </w:rPr>
  </w:style>
  <w:style w:type="paragraph" w:customStyle="1" w:styleId="209">
    <w:name w:val="首行缩进"/>
    <w:basedOn w:val="1"/>
    <w:qFormat/>
    <w:uiPriority w:val="0"/>
    <w:pPr>
      <w:spacing w:line="360" w:lineRule="auto"/>
      <w:ind w:firstLine="420" w:firstLineChars="200"/>
    </w:pPr>
    <w:rPr>
      <w:rFonts w:ascii="Times New Roman" w:hAnsi="Times New Roman" w:eastAsia="宋体" w:cs="Times New Roman"/>
      <w:szCs w:val="20"/>
    </w:rPr>
  </w:style>
  <w:style w:type="paragraph" w:customStyle="1" w:styleId="210">
    <w:name w:val="关键词"/>
    <w:basedOn w:val="1"/>
    <w:next w:val="1"/>
    <w:qFormat/>
    <w:uiPriority w:val="0"/>
    <w:pPr>
      <w:spacing w:line="360" w:lineRule="auto"/>
    </w:pPr>
    <w:rPr>
      <w:rFonts w:ascii="Times New Roman" w:hAnsi="Times New Roman" w:eastAsia="黑体" w:cs="Times New Roman"/>
      <w:sz w:val="20"/>
      <w:szCs w:val="20"/>
    </w:rPr>
  </w:style>
  <w:style w:type="paragraph" w:customStyle="1" w:styleId="211">
    <w:name w:val="样式 样式 首行缩进:  2 字符 + 首行缩进:  2 字符"/>
    <w:basedOn w:val="1"/>
    <w:qFormat/>
    <w:uiPriority w:val="0"/>
    <w:pPr>
      <w:numPr>
        <w:ilvl w:val="0"/>
        <w:numId w:val="15"/>
      </w:numPr>
      <w:spacing w:line="360" w:lineRule="auto"/>
      <w:ind w:firstLine="480" w:firstLineChars="200"/>
    </w:pPr>
    <w:rPr>
      <w:rFonts w:ascii="Times New Roman" w:hAnsi="Times New Roman" w:eastAsia="宋体" w:cs="Times New Roman"/>
      <w:sz w:val="24"/>
      <w:szCs w:val="20"/>
    </w:rPr>
  </w:style>
  <w:style w:type="paragraph" w:customStyle="1" w:styleId="212">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3">
    <w:name w:val="样式 样式 正文首行缩进 2 + 左  0 字符 + 首行缩进:  2.57 字符"/>
    <w:basedOn w:val="1"/>
    <w:next w:val="1"/>
    <w:qFormat/>
    <w:uiPriority w:val="0"/>
    <w:pPr>
      <w:adjustRightInd w:val="0"/>
      <w:snapToGrid w:val="0"/>
      <w:spacing w:after="120"/>
      <w:ind w:firstLine="540" w:firstLineChars="257"/>
    </w:pPr>
    <w:rPr>
      <w:rFonts w:ascii="Times New Roman" w:hAnsi="Times New Roman" w:eastAsia="宋体" w:cs="Times New Roman"/>
      <w:szCs w:val="20"/>
    </w:rPr>
  </w:style>
  <w:style w:type="paragraph" w:customStyle="1" w:styleId="214">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Cs w:val="20"/>
    </w:rPr>
  </w:style>
  <w:style w:type="paragraph" w:customStyle="1" w:styleId="215">
    <w:name w:val="列表接续 21"/>
    <w:basedOn w:val="1"/>
    <w:qFormat/>
    <w:uiPriority w:val="0"/>
    <w:pPr>
      <w:adjustRightInd w:val="0"/>
      <w:snapToGrid w:val="0"/>
      <w:spacing w:after="120" w:line="360" w:lineRule="auto"/>
      <w:ind w:left="840" w:leftChars="400"/>
    </w:pPr>
    <w:rPr>
      <w:rFonts w:ascii="Times New Roman" w:hAnsi="Times New Roman" w:eastAsia="宋体" w:cs="Times New Roman"/>
      <w:sz w:val="24"/>
      <w:szCs w:val="20"/>
    </w:rPr>
  </w:style>
  <w:style w:type="paragraph" w:customStyle="1" w:styleId="216">
    <w:name w:val="Char Char Char Char Char Char1 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217">
    <w:name w:val="文章正文"/>
    <w:basedOn w:val="1"/>
    <w:qFormat/>
    <w:uiPriority w:val="0"/>
    <w:pPr>
      <w:ind w:firstLine="560" w:firstLineChars="200"/>
    </w:pPr>
    <w:rPr>
      <w:rFonts w:ascii="仿宋_GB2312" w:hAnsi="宋体" w:eastAsia="仿宋_GB2312" w:cs="Times New Roman"/>
      <w:color w:val="000000"/>
      <w:sz w:val="28"/>
      <w:szCs w:val="20"/>
    </w:rPr>
  </w:style>
  <w:style w:type="paragraph" w:customStyle="1" w:styleId="218">
    <w:name w:val="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19">
    <w:name w:val="摘要"/>
    <w:basedOn w:val="1"/>
    <w:next w:val="3"/>
    <w:qFormat/>
    <w:uiPriority w:val="0"/>
    <w:pPr>
      <w:spacing w:line="360" w:lineRule="auto"/>
    </w:pPr>
    <w:rPr>
      <w:rFonts w:ascii="Times New Roman" w:hAnsi="Times New Roman" w:eastAsia="黑体" w:cs="Times New Roman"/>
      <w:sz w:val="20"/>
      <w:szCs w:val="20"/>
    </w:rPr>
  </w:style>
  <w:style w:type="paragraph" w:customStyle="1" w:styleId="22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1">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eastAsia="宋体" w:cs="Times New Roman"/>
      <w:kern w:val="0"/>
      <w:sz w:val="24"/>
      <w:szCs w:val="20"/>
    </w:rPr>
  </w:style>
  <w:style w:type="paragraph" w:customStyle="1" w:styleId="222">
    <w:name w:val="样式 宋体 五号 两端对齐 行距: 单倍行距"/>
    <w:basedOn w:val="1"/>
    <w:qFormat/>
    <w:uiPriority w:val="0"/>
    <w:pPr>
      <w:adjustRightInd w:val="0"/>
      <w:textAlignment w:val="baseline"/>
    </w:pPr>
    <w:rPr>
      <w:rFonts w:ascii="宋体" w:hAnsi="宋体" w:eastAsia="宋体" w:cs="Times New Roman"/>
      <w:kern w:val="0"/>
      <w:szCs w:val="20"/>
    </w:rPr>
  </w:style>
  <w:style w:type="paragraph" w:customStyle="1" w:styleId="223">
    <w:name w:val="标题2"/>
    <w:basedOn w:val="3"/>
    <w:qFormat/>
    <w:uiPriority w:val="0"/>
    <w:pPr>
      <w:tabs>
        <w:tab w:val="clear" w:pos="3360"/>
      </w:tabs>
      <w:ind w:firstLine="574" w:firstLineChars="196"/>
      <w:outlineLvl w:val="9"/>
    </w:pPr>
    <w:rPr>
      <w:b/>
      <w:spacing w:val="6"/>
      <w:u w:val="single"/>
    </w:rPr>
  </w:style>
  <w:style w:type="paragraph" w:customStyle="1" w:styleId="224">
    <w:name w:val="表格内文字"/>
    <w:basedOn w:val="63"/>
    <w:qFormat/>
    <w:uiPriority w:val="0"/>
    <w:pPr>
      <w:snapToGrid/>
      <w:spacing w:line="240" w:lineRule="auto"/>
    </w:pPr>
    <w:rPr>
      <w:color w:val="000000"/>
    </w:rPr>
  </w:style>
  <w:style w:type="paragraph" w:customStyle="1" w:styleId="225">
    <w:name w:val="样式 标题 1 + 居中 段前: 6 磅 段后: 6 磅 行距: 1.5 倍行距"/>
    <w:basedOn w:val="2"/>
    <w:qFormat/>
    <w:uiPriority w:val="0"/>
    <w:pPr>
      <w:keepLines/>
      <w:tabs>
        <w:tab w:val="clear" w:pos="3360"/>
      </w:tabs>
      <w:adjustRightInd w:val="0"/>
      <w:spacing w:line="360" w:lineRule="auto"/>
    </w:pPr>
    <w:rPr>
      <w:rFonts w:eastAsia="宋体"/>
      <w:b/>
      <w:kern w:val="44"/>
      <w:sz w:val="32"/>
    </w:rPr>
  </w:style>
  <w:style w:type="paragraph" w:customStyle="1" w:styleId="226">
    <w:name w:val="样式1xz"/>
    <w:basedOn w:val="1"/>
    <w:qFormat/>
    <w:uiPriority w:val="0"/>
    <w:pPr>
      <w:tabs>
        <w:tab w:val="left" w:pos="1050"/>
        <w:tab w:val="right" w:leader="dot" w:pos="8296"/>
      </w:tabs>
    </w:pPr>
    <w:rPr>
      <w:rFonts w:ascii="Times New Roman" w:hAnsi="Times New Roman" w:eastAsia="宋体" w:cs="Times New Roman"/>
      <w:caps/>
      <w:spacing w:val="20"/>
      <w:sz w:val="24"/>
      <w:szCs w:val="20"/>
    </w:rPr>
  </w:style>
  <w:style w:type="paragraph" w:customStyle="1" w:styleId="227">
    <w:name w:val="样式 首行缩进:  0.74 厘米"/>
    <w:basedOn w:val="1"/>
    <w:qFormat/>
    <w:uiPriority w:val="0"/>
    <w:pPr>
      <w:spacing w:line="360" w:lineRule="auto"/>
      <w:ind w:firstLine="420"/>
    </w:pPr>
    <w:rPr>
      <w:rFonts w:ascii="Times New Roman" w:hAnsi="Times New Roman" w:eastAsia="宋体" w:cs="Times New Roman"/>
      <w:sz w:val="24"/>
      <w:szCs w:val="20"/>
    </w:rPr>
  </w:style>
  <w:style w:type="paragraph" w:customStyle="1" w:styleId="22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0"/>
    </w:rPr>
  </w:style>
  <w:style w:type="paragraph" w:customStyle="1" w:styleId="229">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0"/>
    </w:rPr>
  </w:style>
  <w:style w:type="paragraph" w:customStyle="1" w:styleId="230">
    <w:name w:val="00"/>
    <w:basedOn w:val="1"/>
    <w:qFormat/>
    <w:uiPriority w:val="0"/>
    <w:pPr>
      <w:autoSpaceDE w:val="0"/>
      <w:autoSpaceDN w:val="0"/>
      <w:adjustRightInd w:val="0"/>
      <w:jc w:val="left"/>
    </w:pPr>
    <w:rPr>
      <w:rFonts w:ascii="黑体" w:hAnsi="Times New Roman" w:eastAsia="黑体" w:cs="Times New Roman"/>
      <w:b/>
      <w:kern w:val="0"/>
      <w:sz w:val="20"/>
      <w:szCs w:val="20"/>
    </w:rPr>
  </w:style>
  <w:style w:type="paragraph" w:customStyle="1" w:styleId="231">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32">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233">
    <w:name w:val="样式4"/>
    <w:basedOn w:val="5"/>
    <w:qFormat/>
    <w:uiPriority w:val="0"/>
    <w:pPr>
      <w:numPr>
        <w:numId w:val="0"/>
      </w:numPr>
      <w:adjustRightInd w:val="0"/>
      <w:snapToGrid w:val="0"/>
      <w:spacing w:before="280" w:line="374" w:lineRule="auto"/>
    </w:pPr>
  </w:style>
  <w:style w:type="paragraph" w:customStyle="1" w:styleId="234">
    <w:name w:val="论文正文"/>
    <w:basedOn w:val="1"/>
    <w:qFormat/>
    <w:uiPriority w:val="0"/>
    <w:pPr>
      <w:spacing w:line="360" w:lineRule="auto"/>
      <w:ind w:firstLine="480" w:firstLineChars="200"/>
    </w:pPr>
    <w:rPr>
      <w:rFonts w:ascii="宋体" w:hAnsi="宋体" w:eastAsia="宋体" w:cs="宋体"/>
      <w:kern w:val="0"/>
      <w:sz w:val="24"/>
      <w:szCs w:val="20"/>
    </w:rPr>
  </w:style>
  <w:style w:type="paragraph" w:customStyle="1" w:styleId="235">
    <w:name w:val="样式 行距: 1.5 倍行距1"/>
    <w:basedOn w:val="1"/>
    <w:qFormat/>
    <w:uiPriority w:val="0"/>
    <w:pPr>
      <w:snapToGrid w:val="0"/>
    </w:pPr>
    <w:rPr>
      <w:rFonts w:ascii="Times New Roman" w:hAnsi="Times New Roman" w:eastAsia="宋体" w:cs="Times New Roman"/>
      <w:szCs w:val="20"/>
    </w:rPr>
  </w:style>
  <w:style w:type="paragraph" w:customStyle="1" w:styleId="236">
    <w:name w:val="正文（首行不缩进）"/>
    <w:basedOn w:val="1"/>
    <w:qFormat/>
    <w:uiPriority w:val="0"/>
    <w:pPr>
      <w:autoSpaceDE w:val="0"/>
      <w:autoSpaceDN w:val="0"/>
      <w:adjustRightInd w:val="0"/>
      <w:spacing w:line="360" w:lineRule="auto"/>
      <w:jc w:val="left"/>
    </w:pPr>
    <w:rPr>
      <w:rFonts w:ascii="Times New Roman" w:hAnsi="Times New Roman" w:eastAsia="宋体" w:cs="Times New Roman"/>
      <w:kern w:val="0"/>
      <w:szCs w:val="20"/>
    </w:rPr>
  </w:style>
  <w:style w:type="paragraph" w:styleId="237">
    <w:name w:val="List Paragraph"/>
    <w:basedOn w:val="1"/>
    <w:qFormat/>
    <w:uiPriority w:val="34"/>
    <w:pPr>
      <w:ind w:firstLine="420" w:firstLineChars="200"/>
    </w:pPr>
    <w:rPr>
      <w:rFonts w:ascii="Times New Roman" w:hAnsi="Times New Roman" w:eastAsia="宋体" w:cs="Times New Roman"/>
      <w:sz w:val="28"/>
      <w:szCs w:val="20"/>
    </w:rPr>
  </w:style>
  <w:style w:type="paragraph" w:customStyle="1" w:styleId="238">
    <w:name w:val="17babae4-54f0-44fa-a444-1068224df0ac"/>
    <w:basedOn w:val="31"/>
    <w:next w:val="239"/>
    <w:link w:val="240"/>
    <w:qFormat/>
    <w:uiPriority w:val="0"/>
    <w:pPr>
      <w:adjustRightInd w:val="0"/>
      <w:spacing w:after="0" w:line="288" w:lineRule="auto"/>
      <w:outlineLvl w:val="0"/>
    </w:pPr>
    <w:rPr>
      <w:rFonts w:ascii="微软雅黑" w:hAnsi="微软雅黑" w:eastAsia="微软雅黑"/>
      <w:color w:val="000000"/>
      <w:sz w:val="40"/>
    </w:rPr>
  </w:style>
  <w:style w:type="paragraph" w:customStyle="1" w:styleId="239">
    <w:name w:val="acbfdd8b-e11b-4d36-88ff-6049b138f862"/>
    <w:basedOn w:val="1"/>
    <w:link w:val="241"/>
    <w:qFormat/>
    <w:uiPriority w:val="0"/>
    <w:pPr>
      <w:adjustRightInd w:val="0"/>
      <w:spacing w:line="288" w:lineRule="auto"/>
      <w:jc w:val="left"/>
    </w:pPr>
    <w:rPr>
      <w:rFonts w:ascii="微软雅黑" w:hAnsi="微软雅黑" w:eastAsia="微软雅黑"/>
      <w:color w:val="000000"/>
      <w:sz w:val="22"/>
    </w:rPr>
  </w:style>
  <w:style w:type="character" w:customStyle="1" w:styleId="240">
    <w:name w:val="17babae4-54f0-44fa-a444-1068224df0ac 字符"/>
    <w:basedOn w:val="35"/>
    <w:link w:val="238"/>
    <w:qFormat/>
    <w:uiPriority w:val="0"/>
    <w:rPr>
      <w:rFonts w:ascii="微软雅黑" w:hAnsi="微软雅黑" w:eastAsia="微软雅黑" w:cs="Times New Roman"/>
      <w:b/>
      <w:smallCaps/>
      <w:color w:val="000000"/>
      <w:kern w:val="28"/>
      <w:sz w:val="40"/>
      <w:szCs w:val="20"/>
      <w:lang w:eastAsia="en-US"/>
    </w:rPr>
  </w:style>
  <w:style w:type="character" w:customStyle="1" w:styleId="241">
    <w:name w:val="acbfdd8b-e11b-4d36-88ff-6049b138f862 字符"/>
    <w:basedOn w:val="35"/>
    <w:link w:val="239"/>
    <w:qFormat/>
    <w:uiPriority w:val="0"/>
    <w:rPr>
      <w:rFonts w:ascii="微软雅黑" w:hAnsi="微软雅黑" w:eastAsia="微软雅黑"/>
      <w:color w:val="000000"/>
      <w:sz w:val="22"/>
    </w:rPr>
  </w:style>
  <w:style w:type="paragraph" w:customStyle="1" w:styleId="242">
    <w:name w:val="c047f70a-4733-4f89-8971-bccdea5ca046"/>
    <w:basedOn w:val="26"/>
    <w:next w:val="239"/>
    <w:link w:val="243"/>
    <w:qFormat/>
    <w:uiPriority w:val="0"/>
    <w:pPr>
      <w:adjustRightInd w:val="0"/>
      <w:spacing w:before="0" w:after="0" w:line="288" w:lineRule="auto"/>
      <w:outlineLvl w:val="9"/>
    </w:pPr>
    <w:rPr>
      <w:rFonts w:ascii="微软雅黑" w:hAnsi="微软雅黑" w:eastAsia="微软雅黑" w:cs="Times New Roman"/>
      <w:b w:val="0"/>
      <w:color w:val="000000"/>
      <w:sz w:val="36"/>
      <w:lang w:eastAsia="en-US"/>
    </w:rPr>
  </w:style>
  <w:style w:type="character" w:customStyle="1" w:styleId="243">
    <w:name w:val="c047f70a-4733-4f89-8971-bccdea5ca046 字符"/>
    <w:basedOn w:val="240"/>
    <w:link w:val="242"/>
    <w:qFormat/>
    <w:uiPriority w:val="0"/>
    <w:rPr>
      <w:rFonts w:ascii="微软雅黑" w:hAnsi="微软雅黑" w:eastAsia="微软雅黑" w:cs="Times New Roman"/>
      <w:b w:val="0"/>
      <w:bCs/>
      <w:smallCaps w:val="0"/>
      <w:color w:val="000000"/>
      <w:kern w:val="28"/>
      <w:sz w:val="36"/>
      <w:szCs w:val="32"/>
      <w:lang w:eastAsia="en-US"/>
    </w:rPr>
  </w:style>
  <w:style w:type="character" w:customStyle="1" w:styleId="244">
    <w:name w:val="副标题 字符"/>
    <w:basedOn w:val="35"/>
    <w:link w:val="26"/>
    <w:qFormat/>
    <w:uiPriority w:val="11"/>
    <w:rPr>
      <w:b/>
      <w:bCs/>
      <w:kern w:val="28"/>
      <w:sz w:val="32"/>
      <w:szCs w:val="32"/>
    </w:rPr>
  </w:style>
  <w:style w:type="character" w:customStyle="1" w:styleId="245">
    <w:name w:val="批注主题 字符"/>
    <w:basedOn w:val="54"/>
    <w:link w:val="32"/>
    <w:semiHidden/>
    <w:qFormat/>
    <w:uiPriority w:val="99"/>
    <w:rPr>
      <w:rFonts w:ascii="Times New Roman" w:hAnsi="Times New Roman" w:eastAsia="PMingLiU" w:cs="Times New Roman"/>
      <w:b/>
      <w:bCs/>
      <w:kern w:val="0"/>
      <w:sz w:val="24"/>
      <w:szCs w:val="20"/>
      <w:lang w:eastAsia="zh-TW"/>
    </w:rPr>
  </w:style>
  <w:style w:type="paragraph" w:customStyle="1" w:styleId="246">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styleId="247">
    <w:name w:val="No Spacing"/>
    <w:link w:val="248"/>
    <w:qFormat/>
    <w:uiPriority w:val="1"/>
    <w:rPr>
      <w:rFonts w:asciiTheme="minorHAnsi" w:hAnsiTheme="minorHAnsi" w:eastAsiaTheme="minorEastAsia" w:cstheme="minorBidi"/>
      <w:sz w:val="22"/>
      <w:szCs w:val="22"/>
      <w:lang w:val="en-US" w:eastAsia="zh-CN" w:bidi="ar-SA"/>
    </w:rPr>
  </w:style>
  <w:style w:type="character" w:customStyle="1" w:styleId="248">
    <w:name w:val="无间隔 字符"/>
    <w:basedOn w:val="35"/>
    <w:link w:val="247"/>
    <w:qFormat/>
    <w:uiPriority w:val="1"/>
    <w:rPr>
      <w:kern w:val="0"/>
      <w:sz w:val="22"/>
    </w:rPr>
  </w:style>
  <w:style w:type="paragraph" w:customStyle="1" w:styleId="249">
    <w:name w:val="修订3"/>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05039-C72F-4887-BDD7-8722ADBBC179}">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58</Pages>
  <Words>37865</Words>
  <Characters>39530</Characters>
  <Lines>328</Lines>
  <Paragraphs>92</Paragraphs>
  <TotalTime>79</TotalTime>
  <ScaleCrop>false</ScaleCrop>
  <LinksUpToDate>false</LinksUpToDate>
  <CharactersWithSpaces>41552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2025-06-13T01:26:00Z</dcterms:created>
  <dc:creator>manti</dc:creator>
  <cp:lastModifiedBy>慕逸</cp:lastModifiedBy>
  <cp:lastPrinted>2025-06-04T01:47:00Z</cp:lastPrinted>
  <dcterms:modified xsi:type="dcterms:W3CDTF">2025-06-25T09:22:34Z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C8465FC39212475A9B8480156C0DA5B9</vt:lpwstr>
  </property>
</Properties>
</file>